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0F92" w14:textId="6049EC0C" w:rsidR="002E79C5" w:rsidRDefault="00000000" w:rsidP="00183B0B">
      <w:pPr>
        <w:pStyle w:val="Heading1"/>
        <w:rPr>
          <w:sz w:val="24"/>
          <w:szCs w:val="24"/>
        </w:rPr>
      </w:pPr>
      <w:r>
        <w:t>Revision of Section 630</w:t>
      </w:r>
      <w:r w:rsidR="00183B0B">
        <w:t xml:space="preserve"> </w:t>
      </w:r>
      <w:r w:rsidR="00183B0B">
        <w:br/>
      </w:r>
      <w:r>
        <w:t>Pedestrian Barricade (ADA)</w:t>
      </w:r>
    </w:p>
    <w:p w14:paraId="2D10373F" w14:textId="77777777" w:rsidR="002E79C5" w:rsidRDefault="00000000" w:rsidP="00183B0B">
      <w:pPr>
        <w:widowControl w:val="0"/>
        <w:spacing w:before="240" w:after="240"/>
        <w:rPr>
          <w:rFonts w:ascii="Trebuchet MS" w:eastAsia="Trebuchet MS" w:hAnsi="Trebuchet MS" w:cs="Trebuchet MS"/>
          <w:b/>
          <w:sz w:val="24"/>
          <w:szCs w:val="24"/>
        </w:rPr>
      </w:pPr>
      <w:r>
        <w:rPr>
          <w:rFonts w:ascii="Trebuchet MS" w:eastAsia="Trebuchet MS" w:hAnsi="Trebuchet MS" w:cs="Trebuchet MS"/>
          <w:b/>
          <w:sz w:val="24"/>
          <w:szCs w:val="24"/>
        </w:rPr>
        <w:t>Revise Section 630 of the Standard Specifications for this project as follows:</w:t>
      </w:r>
    </w:p>
    <w:p w14:paraId="6224323E" w14:textId="77777777" w:rsidR="002E79C5" w:rsidRDefault="00000000" w:rsidP="00183B0B">
      <w:pPr>
        <w:pStyle w:val="Heading2"/>
      </w:pPr>
      <w:r>
        <w:t>Subsection 630.01 shall include the following:</w:t>
      </w:r>
    </w:p>
    <w:p w14:paraId="21A863DE"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This work consists of the construction of a temporary pedestrian barricade which is fully ADA compliant with current PROWAG guidelines and CDOT Standard DS-630-2a at locations as shown on the plans and CDOT Standard DS-630-1a.</w:t>
      </w:r>
    </w:p>
    <w:p w14:paraId="540C1257" w14:textId="77777777" w:rsidR="002E79C5" w:rsidRDefault="00000000" w:rsidP="00183B0B">
      <w:pPr>
        <w:pStyle w:val="Heading2"/>
      </w:pPr>
      <w:r>
        <w:t>Subsection 630.02 shall include the following:</w:t>
      </w:r>
    </w:p>
    <w:p w14:paraId="6E287383"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The pedestrian barricade shall conform to MUTCD 6F.71 for pedestrian traffic control. The barricade shall be made of High-Density Polyethylene (HDPE) with Ultraviolet (UV) stabilizers, or other approved material. It shall be able to interlock with adjacent barricades of the same product such that it forms a wall or a rail.</w:t>
      </w:r>
    </w:p>
    <w:p w14:paraId="20E4559D"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 xml:space="preserve">The pedestrian barricade shall comply with the crash test requirements contained in MASH Level TL3. </w:t>
      </w:r>
    </w:p>
    <w:p w14:paraId="72B52699"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The pedestrian barricade shall have a continuous detectable bottom and top surface to be detectable to users of long canes. The bottom of the barricade shall be no more than 2 inches above the ground. The top of the barricade shall be no lower than 32 inches and no higher than 38 inches above the walkway.  The gap to the bottom of the barricade may be used for drainage. The barricade shall be reflectorized in accordance with MUTCD requirements. No extended bases or protrusions shall extend into the walkway.</w:t>
      </w:r>
    </w:p>
    <w:p w14:paraId="2A96AF20"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 xml:space="preserve">The Contractor shall submit manufacturer’s documentation confirming that the barricade meets all applicable ADA and MASH requirements for barricades or rail. </w:t>
      </w:r>
    </w:p>
    <w:p w14:paraId="71C915B2" w14:textId="77777777" w:rsidR="002E79C5" w:rsidRDefault="00000000" w:rsidP="00183B0B">
      <w:pPr>
        <w:pStyle w:val="Heading2"/>
      </w:pPr>
      <w:r>
        <w:t>Subsection 630.13 shall include the following:</w:t>
      </w:r>
    </w:p>
    <w:p w14:paraId="4A523AE9"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Construction of the Pedestrian Barricade (ADA) shall be in accordance with manufacturer recommendations.</w:t>
      </w:r>
    </w:p>
    <w:p w14:paraId="4FAAD030"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The ADA pedestrian barricade may be moved to other locations as shown on the plans or as directed upon completion of use at one location.</w:t>
      </w:r>
    </w:p>
    <w:p w14:paraId="6701AF94" w14:textId="77777777" w:rsidR="002E79C5" w:rsidRDefault="00000000" w:rsidP="00183B0B">
      <w:pPr>
        <w:pStyle w:val="Heading2"/>
      </w:pPr>
      <w:r>
        <w:t>The third paragraph of Subsection 630.17 is replaced with the following:</w:t>
      </w:r>
    </w:p>
    <w:p w14:paraId="46B9C16B"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Traffic channelizing devices consisting of vertical panels, traffic cones, or drum channelizing devices will be measured by the unit. Concrete barriers will be measured by the linear foot. Barricades will be measured by the number used, except Pedestrian Barricade (ADA). Barricade warning lights shall be furnished as a part of this item when required by the Traffic Control Plan (TCP). Advance Warning Flashing or Sequencing Arrow Panels will be measured by the unit according to size.</w:t>
      </w:r>
    </w:p>
    <w:p w14:paraId="5F3DFAFD" w14:textId="77777777" w:rsidR="002E79C5" w:rsidRDefault="00000000">
      <w:pPr>
        <w:widowControl w:val="0"/>
        <w:spacing w:after="240"/>
        <w:rPr>
          <w:rFonts w:ascii="Trebuchet MS" w:eastAsia="Trebuchet MS" w:hAnsi="Trebuchet MS" w:cs="Trebuchet MS"/>
          <w:sz w:val="24"/>
          <w:szCs w:val="24"/>
        </w:rPr>
      </w:pPr>
      <w:r>
        <w:rPr>
          <w:rFonts w:ascii="Trebuchet MS" w:eastAsia="Trebuchet MS" w:hAnsi="Trebuchet MS" w:cs="Trebuchet MS"/>
          <w:sz w:val="24"/>
          <w:szCs w:val="24"/>
        </w:rPr>
        <w:t>Pedestrian barricades (ADA) will be measured as the actual linear feet of barricade installed and accepted.</w:t>
      </w:r>
    </w:p>
    <w:p w14:paraId="67D2A2EF" w14:textId="77777777" w:rsidR="002E79C5" w:rsidRDefault="00000000" w:rsidP="00183B0B">
      <w:pPr>
        <w:pStyle w:val="Heading2"/>
      </w:pPr>
      <w:r>
        <w:lastRenderedPageBreak/>
        <w:t>Subsection 630.18 shall include the following:</w:t>
      </w:r>
    </w:p>
    <w:p w14:paraId="16C1A1AA" w14:textId="77777777" w:rsidR="002E79C5" w:rsidRDefault="00000000">
      <w:pPr>
        <w:widowControl w:val="0"/>
        <w:spacing w:after="120"/>
        <w:rPr>
          <w:rFonts w:ascii="Trebuchet MS" w:eastAsia="Trebuchet MS" w:hAnsi="Trebuchet MS" w:cs="Trebuchet MS"/>
          <w:sz w:val="24"/>
          <w:szCs w:val="24"/>
        </w:rPr>
      </w:pPr>
      <w:r>
        <w:rPr>
          <w:rFonts w:ascii="Trebuchet MS" w:eastAsia="Trebuchet MS" w:hAnsi="Trebuchet MS" w:cs="Trebuchet MS"/>
          <w:sz w:val="24"/>
          <w:szCs w:val="24"/>
        </w:rPr>
        <w:t>Payment will be made under:</w:t>
      </w:r>
    </w:p>
    <w:tbl>
      <w:tblPr>
        <w:tblStyle w:val="a"/>
        <w:tblW w:w="7465" w:type="dxa"/>
        <w:tblBorders>
          <w:top w:val="nil"/>
          <w:left w:val="nil"/>
          <w:bottom w:val="nil"/>
          <w:right w:val="nil"/>
          <w:insideH w:val="nil"/>
          <w:insideV w:val="nil"/>
        </w:tblBorders>
        <w:tblLayout w:type="fixed"/>
        <w:tblLook w:val="0420" w:firstRow="1" w:lastRow="0" w:firstColumn="0" w:lastColumn="0" w:noHBand="0" w:noVBand="1"/>
      </w:tblPr>
      <w:tblGrid>
        <w:gridCol w:w="3595"/>
        <w:gridCol w:w="3870"/>
      </w:tblGrid>
      <w:tr w:rsidR="002E79C5" w14:paraId="4414E164" w14:textId="77777777" w:rsidTr="00183B0B">
        <w:trPr>
          <w:trHeight w:val="360"/>
        </w:trPr>
        <w:tc>
          <w:tcPr>
            <w:tcW w:w="3595" w:type="dxa"/>
            <w:vAlign w:val="center"/>
          </w:tcPr>
          <w:p w14:paraId="1D63AD62" w14:textId="77777777" w:rsidR="002E79C5" w:rsidRDefault="00000000">
            <w:pPr>
              <w:widowControl w:val="0"/>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t>Pay Item</w:t>
            </w:r>
          </w:p>
        </w:tc>
        <w:tc>
          <w:tcPr>
            <w:tcW w:w="3870" w:type="dxa"/>
            <w:vAlign w:val="center"/>
          </w:tcPr>
          <w:p w14:paraId="13FF4C0A" w14:textId="77777777" w:rsidR="002E79C5" w:rsidRDefault="00000000">
            <w:pPr>
              <w:widowControl w:val="0"/>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t>Pay Unit</w:t>
            </w:r>
          </w:p>
        </w:tc>
      </w:tr>
      <w:tr w:rsidR="002E79C5" w14:paraId="153398B3" w14:textId="77777777" w:rsidTr="00183B0B">
        <w:trPr>
          <w:trHeight w:val="360"/>
        </w:trPr>
        <w:tc>
          <w:tcPr>
            <w:tcW w:w="3595" w:type="dxa"/>
            <w:vAlign w:val="center"/>
          </w:tcPr>
          <w:p w14:paraId="70179749" w14:textId="77777777" w:rsidR="002E79C5" w:rsidRDefault="00000000">
            <w:pPr>
              <w:widowControl w:val="0"/>
              <w:rPr>
                <w:rFonts w:ascii="Trebuchet MS" w:eastAsia="Trebuchet MS" w:hAnsi="Trebuchet MS" w:cs="Trebuchet MS"/>
                <w:sz w:val="24"/>
                <w:szCs w:val="24"/>
              </w:rPr>
            </w:pPr>
            <w:r>
              <w:rPr>
                <w:rFonts w:ascii="Trebuchet MS" w:eastAsia="Trebuchet MS" w:hAnsi="Trebuchet MS" w:cs="Trebuchet MS"/>
                <w:sz w:val="24"/>
                <w:szCs w:val="24"/>
              </w:rPr>
              <w:t>Pedestrian Barricade (ADA)</w:t>
            </w:r>
          </w:p>
        </w:tc>
        <w:tc>
          <w:tcPr>
            <w:tcW w:w="3870" w:type="dxa"/>
            <w:vAlign w:val="center"/>
          </w:tcPr>
          <w:p w14:paraId="5413C32E" w14:textId="77777777" w:rsidR="002E79C5" w:rsidRDefault="00000000">
            <w:pPr>
              <w:widowControl w:val="0"/>
              <w:rPr>
                <w:rFonts w:ascii="Trebuchet MS" w:eastAsia="Trebuchet MS" w:hAnsi="Trebuchet MS" w:cs="Trebuchet MS"/>
                <w:sz w:val="24"/>
                <w:szCs w:val="24"/>
              </w:rPr>
            </w:pPr>
            <w:r>
              <w:rPr>
                <w:rFonts w:ascii="Trebuchet MS" w:eastAsia="Trebuchet MS" w:hAnsi="Trebuchet MS" w:cs="Trebuchet MS"/>
                <w:sz w:val="24"/>
                <w:szCs w:val="24"/>
              </w:rPr>
              <w:t>Linear Foot</w:t>
            </w:r>
          </w:p>
        </w:tc>
      </w:tr>
    </w:tbl>
    <w:p w14:paraId="7775CE76" w14:textId="77777777" w:rsidR="002E79C5" w:rsidRDefault="00000000">
      <w:pPr>
        <w:widowControl w:val="0"/>
        <w:spacing w:before="120" w:after="240"/>
        <w:rPr>
          <w:rFonts w:ascii="Trebuchet MS" w:eastAsia="Trebuchet MS" w:hAnsi="Trebuchet MS" w:cs="Trebuchet MS"/>
          <w:sz w:val="24"/>
          <w:szCs w:val="24"/>
        </w:rPr>
      </w:pPr>
      <w:r>
        <w:rPr>
          <w:rFonts w:ascii="Trebuchet MS" w:eastAsia="Trebuchet MS" w:hAnsi="Trebuchet MS" w:cs="Trebuchet MS"/>
          <w:sz w:val="24"/>
          <w:szCs w:val="24"/>
        </w:rPr>
        <w:t>End treatments, routine maintenance, repairs, and relocation of the Pedestrian Barricade (ADA) to different locations, when required, will not be measured and paid for separately, but shall be included in the work.</w:t>
      </w:r>
    </w:p>
    <w:sectPr w:rsidR="002E79C5">
      <w:headerReference w:type="default" r:id="rId7"/>
      <w:pgSz w:w="12240" w:h="15840"/>
      <w:pgMar w:top="720" w:right="1080" w:bottom="720" w:left="108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B752" w14:textId="77777777" w:rsidR="00D34366" w:rsidRDefault="00D34366">
      <w:r>
        <w:separator/>
      </w:r>
    </w:p>
  </w:endnote>
  <w:endnote w:type="continuationSeparator" w:id="0">
    <w:p w14:paraId="28A9B68A" w14:textId="77777777" w:rsidR="00D34366" w:rsidRDefault="00D3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35C9" w14:textId="77777777" w:rsidR="00D34366" w:rsidRDefault="00D34366">
      <w:r>
        <w:separator/>
      </w:r>
    </w:p>
  </w:footnote>
  <w:footnote w:type="continuationSeparator" w:id="0">
    <w:p w14:paraId="1ADB5FA2" w14:textId="77777777" w:rsidR="00D34366" w:rsidRDefault="00D3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4D6" w14:textId="77777777" w:rsidR="002E79C5" w:rsidRDefault="0000000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rebuchet MS" w:eastAsia="Trebuchet MS" w:hAnsi="Trebuchet MS" w:cs="Trebuchet MS"/>
        <w:sz w:val="22"/>
        <w:szCs w:val="22"/>
      </w:rPr>
    </w:pPr>
    <w:r>
      <w:rPr>
        <w:rFonts w:ascii="Trebuchet MS" w:eastAsia="Trebuchet MS" w:hAnsi="Trebuchet MS" w:cs="Trebuchet MS"/>
        <w:sz w:val="22"/>
        <w:szCs w:val="22"/>
      </w:rPr>
      <w:t>Sample Project Special Provision: 630pba</w:t>
    </w:r>
  </w:p>
  <w:p w14:paraId="4723E6ED" w14:textId="77777777" w:rsidR="002E79C5" w:rsidRDefault="0000000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rebuchet MS" w:eastAsia="Trebuchet MS" w:hAnsi="Trebuchet MS" w:cs="Trebuchet MS"/>
        <w:sz w:val="22"/>
        <w:szCs w:val="22"/>
      </w:rPr>
    </w:pPr>
    <w:r>
      <w:rPr>
        <w:rFonts w:ascii="Trebuchet MS" w:eastAsia="Trebuchet MS" w:hAnsi="Trebuchet MS" w:cs="Trebuchet MS"/>
        <w:sz w:val="22"/>
        <w:szCs w:val="22"/>
      </w:rPr>
      <w:t>Issued: 06/16/25</w:t>
    </w:r>
  </w:p>
  <w:p w14:paraId="475EDC20" w14:textId="77777777" w:rsidR="002E79C5" w:rsidRDefault="00000000">
    <w:pPr>
      <w:pBdr>
        <w:top w:val="nil"/>
        <w:left w:val="nil"/>
        <w:bottom w:val="nil"/>
        <w:right w:val="nil"/>
        <w:between w:val="nil"/>
      </w:pBdr>
      <w:tabs>
        <w:tab w:val="center" w:pos="4680"/>
        <w:tab w:val="right" w:pos="9360"/>
      </w:tabs>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fldChar w:fldCharType="begin"/>
    </w:r>
    <w:r>
      <w:rPr>
        <w:rFonts w:ascii="Trebuchet MS" w:eastAsia="Trebuchet MS" w:hAnsi="Trebuchet MS" w:cs="Trebuchet MS"/>
        <w:color w:val="000000"/>
        <w:sz w:val="24"/>
        <w:szCs w:val="24"/>
      </w:rPr>
      <w:instrText>PAGE</w:instrText>
    </w:r>
    <w:r>
      <w:rPr>
        <w:rFonts w:ascii="Trebuchet MS" w:eastAsia="Trebuchet MS" w:hAnsi="Trebuchet MS" w:cs="Trebuchet MS"/>
        <w:color w:val="000000"/>
        <w:sz w:val="24"/>
        <w:szCs w:val="24"/>
      </w:rPr>
      <w:fldChar w:fldCharType="separate"/>
    </w:r>
    <w:r w:rsidR="00183B0B">
      <w:rPr>
        <w:rFonts w:ascii="Trebuchet MS" w:eastAsia="Trebuchet MS" w:hAnsi="Trebuchet MS" w:cs="Trebuchet MS"/>
        <w:color w:val="000000"/>
        <w:sz w:val="24"/>
        <w:szCs w:val="24"/>
      </w:rPr>
      <w:t>1</w:t>
    </w:r>
    <w:r>
      <w:rPr>
        <w:rFonts w:ascii="Trebuchet MS" w:eastAsia="Trebuchet MS" w:hAnsi="Trebuchet MS" w:cs="Trebuchet MS"/>
        <w:color w:val="000000"/>
        <w:sz w:val="24"/>
        <w:szCs w:val="24"/>
      </w:rPr>
      <w:fldChar w:fldCharType="end"/>
    </w:r>
  </w:p>
  <w:p w14:paraId="1D2FA326" w14:textId="77777777" w:rsidR="002E79C5" w:rsidRDefault="002E79C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C5"/>
    <w:rsid w:val="00183B0B"/>
    <w:rsid w:val="002E79C5"/>
    <w:rsid w:val="00731CC8"/>
    <w:rsid w:val="00D16665"/>
    <w:rsid w:val="00D3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7CEF"/>
  <w15:docId w15:val="{DAF059A3-42F1-47A3-A778-D02536D0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B5"/>
    <w:rPr>
      <w:noProof/>
    </w:rPr>
  </w:style>
  <w:style w:type="paragraph" w:styleId="Heading1">
    <w:name w:val="heading 1"/>
    <w:next w:val="Normal"/>
    <w:uiPriority w:val="9"/>
    <w:qFormat/>
    <w:rsid w:val="00183B0B"/>
    <w:pPr>
      <w:jc w:val="center"/>
      <w:outlineLvl w:val="0"/>
    </w:pPr>
    <w:rPr>
      <w:rFonts w:ascii="Trebuchet MS" w:hAnsi="Trebuchet MS"/>
      <w:b/>
      <w:noProof/>
      <w:sz w:val="32"/>
    </w:rPr>
  </w:style>
  <w:style w:type="paragraph" w:styleId="Heading2">
    <w:name w:val="heading 2"/>
    <w:next w:val="Normal"/>
    <w:uiPriority w:val="9"/>
    <w:unhideWhenUsed/>
    <w:qFormat/>
    <w:rsid w:val="00183B0B"/>
    <w:pPr>
      <w:outlineLvl w:val="1"/>
    </w:pPr>
    <w:rPr>
      <w:rFonts w:ascii="Trebuchet MS" w:hAnsi="Trebuchet MS"/>
      <w:b/>
      <w:noProof/>
      <w:sz w:val="28"/>
    </w:rPr>
  </w:style>
  <w:style w:type="paragraph" w:styleId="Heading3">
    <w:name w:val="heading 3"/>
    <w:next w:val="Normal"/>
    <w:uiPriority w:val="9"/>
    <w:semiHidden/>
    <w:unhideWhenUsed/>
    <w:qFormat/>
    <w:rsid w:val="00260BB5"/>
    <w:pPr>
      <w:outlineLvl w:val="2"/>
    </w:pPr>
    <w:rPr>
      <w:noProof/>
    </w:rPr>
  </w:style>
  <w:style w:type="paragraph" w:styleId="Heading4">
    <w:name w:val="heading 4"/>
    <w:next w:val="Normal"/>
    <w:uiPriority w:val="9"/>
    <w:semiHidden/>
    <w:unhideWhenUsed/>
    <w:qFormat/>
    <w:rsid w:val="00260BB5"/>
    <w:pPr>
      <w:outlineLvl w:val="3"/>
    </w:pPr>
    <w:rPr>
      <w:noProof/>
    </w:rPr>
  </w:style>
  <w:style w:type="paragraph" w:styleId="Heading5">
    <w:name w:val="heading 5"/>
    <w:next w:val="Normal"/>
    <w:uiPriority w:val="9"/>
    <w:semiHidden/>
    <w:unhideWhenUsed/>
    <w:qFormat/>
    <w:rsid w:val="00260BB5"/>
    <w:pPr>
      <w:outlineLvl w:val="4"/>
    </w:pPr>
    <w:rPr>
      <w:noProof/>
    </w:rPr>
  </w:style>
  <w:style w:type="paragraph" w:styleId="Heading6">
    <w:name w:val="heading 6"/>
    <w:next w:val="Normal"/>
    <w:uiPriority w:val="9"/>
    <w:semiHidden/>
    <w:unhideWhenUsed/>
    <w:qFormat/>
    <w:rsid w:val="00260BB5"/>
    <w:pPr>
      <w:outlineLvl w:val="5"/>
    </w:pPr>
    <w:rPr>
      <w:noProof/>
    </w:rPr>
  </w:style>
  <w:style w:type="paragraph" w:styleId="Heading7">
    <w:name w:val="heading 7"/>
    <w:next w:val="Normal"/>
    <w:qFormat/>
    <w:rsid w:val="00260BB5"/>
    <w:pPr>
      <w:outlineLvl w:val="6"/>
    </w:pPr>
    <w:rPr>
      <w:noProof/>
    </w:rPr>
  </w:style>
  <w:style w:type="paragraph" w:styleId="Heading8">
    <w:name w:val="heading 8"/>
    <w:next w:val="Normal"/>
    <w:qFormat/>
    <w:rsid w:val="00260BB5"/>
    <w:pPr>
      <w:outlineLvl w:val="7"/>
    </w:pPr>
    <w:rPr>
      <w:noProof/>
    </w:rPr>
  </w:style>
  <w:style w:type="paragraph" w:styleId="Heading9">
    <w:name w:val="heading 9"/>
    <w:next w:val="Normal"/>
    <w:qFormat/>
    <w:rsid w:val="00260BB5"/>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0608B4"/>
    <w:rPr>
      <w:rFonts w:ascii="Tahoma" w:hAnsi="Tahoma" w:cs="Tahoma"/>
      <w:sz w:val="16"/>
      <w:szCs w:val="16"/>
    </w:rPr>
  </w:style>
  <w:style w:type="paragraph" w:styleId="Header">
    <w:name w:val="header"/>
    <w:basedOn w:val="Normal"/>
    <w:link w:val="HeaderChar"/>
    <w:uiPriority w:val="99"/>
    <w:rsid w:val="003A6CC3"/>
    <w:pPr>
      <w:tabs>
        <w:tab w:val="center" w:pos="4680"/>
        <w:tab w:val="right" w:pos="9360"/>
      </w:tabs>
    </w:pPr>
  </w:style>
  <w:style w:type="character" w:customStyle="1" w:styleId="HeaderChar">
    <w:name w:val="Header Char"/>
    <w:basedOn w:val="DefaultParagraphFont"/>
    <w:link w:val="Header"/>
    <w:uiPriority w:val="99"/>
    <w:rsid w:val="003A6CC3"/>
    <w:rPr>
      <w:noProof/>
    </w:rPr>
  </w:style>
  <w:style w:type="paragraph" w:styleId="Footer">
    <w:name w:val="footer"/>
    <w:basedOn w:val="Normal"/>
    <w:link w:val="FooterChar"/>
    <w:rsid w:val="003A6CC3"/>
    <w:pPr>
      <w:tabs>
        <w:tab w:val="center" w:pos="4680"/>
        <w:tab w:val="right" w:pos="9360"/>
      </w:tabs>
    </w:pPr>
  </w:style>
  <w:style w:type="character" w:customStyle="1" w:styleId="FooterChar">
    <w:name w:val="Footer Char"/>
    <w:basedOn w:val="DefaultParagraphFont"/>
    <w:link w:val="Footer"/>
    <w:rsid w:val="003A6CC3"/>
    <w:rPr>
      <w:noProof/>
    </w:rPr>
  </w:style>
  <w:style w:type="paragraph" w:styleId="ListParagraph">
    <w:name w:val="List Paragraph"/>
    <w:basedOn w:val="Normal"/>
    <w:uiPriority w:val="34"/>
    <w:qFormat/>
    <w:rsid w:val="0031232A"/>
    <w:pPr>
      <w:ind w:left="720"/>
      <w:contextualSpacing/>
    </w:pPr>
  </w:style>
  <w:style w:type="table" w:styleId="TableGrid">
    <w:name w:val="Table Grid"/>
    <w:basedOn w:val="TableNormal"/>
    <w:rsid w:val="00473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ScFM+pubsJpm5JOmlE2u0/Jkg==">CgMxLjA4AHIhMW1NeVV0dXdYOWRoUkQtVGh0ZzAxLWQ0TXpLWkRzdzM3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Section 630 Pedestrian Barricade (ADA)</dc:title>
  <dc:creator>prievee</dc:creator>
  <cp:lastModifiedBy>Michael, Felicia</cp:lastModifiedBy>
  <cp:revision>3</cp:revision>
  <dcterms:created xsi:type="dcterms:W3CDTF">2025-05-13T15:45:00Z</dcterms:created>
  <dcterms:modified xsi:type="dcterms:W3CDTF">2025-06-25T18:01:00Z</dcterms:modified>
</cp:coreProperties>
</file>