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90DF8" w14:textId="77777777" w:rsidR="00DB2A47" w:rsidRPr="00E804D4" w:rsidRDefault="00DB2A47" w:rsidP="00DB2A47">
      <w:pPr>
        <w:jc w:val="center"/>
        <w:rPr>
          <w:rFonts w:ascii="Trebuchet MS" w:hAnsi="Trebuchet MS"/>
          <w:b/>
          <w:bCs/>
          <w:sz w:val="40"/>
          <w:szCs w:val="40"/>
        </w:rPr>
      </w:pPr>
      <w:r w:rsidRPr="00E804D4">
        <w:rPr>
          <w:rFonts w:ascii="Trebuchet MS" w:hAnsi="Trebuchet MS"/>
          <w:b/>
          <w:bCs/>
          <w:sz w:val="40"/>
          <w:szCs w:val="40"/>
        </w:rPr>
        <w:t>Notice</w:t>
      </w:r>
    </w:p>
    <w:p w14:paraId="1B49B3DE" w14:textId="77777777" w:rsidR="00DB2A47" w:rsidRPr="00CD2C55" w:rsidRDefault="00DB2A47" w:rsidP="00DB2A47">
      <w:pPr>
        <w:rPr>
          <w:sz w:val="28"/>
          <w:szCs w:val="28"/>
        </w:rPr>
      </w:pPr>
    </w:p>
    <w:p w14:paraId="75861E24"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353F4AC2"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p>
    <w:p w14:paraId="5823BBBB"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6DE5EB2B" w14:textId="77777777" w:rsidR="00DB2A47" w:rsidRPr="00CD2C55" w:rsidRDefault="00DB2A47" w:rsidP="00DB2A47">
      <w:pPr>
        <w:ind w:left="360"/>
        <w:rPr>
          <w:sz w:val="28"/>
          <w:szCs w:val="28"/>
        </w:rPr>
      </w:pPr>
    </w:p>
    <w:p w14:paraId="287BC297" w14:textId="77777777" w:rsidR="00DB2A47" w:rsidRPr="00E804D4" w:rsidRDefault="00DB2A47" w:rsidP="00DB2A47">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2EE4D8F9" w14:textId="77777777" w:rsidR="00DB2A47" w:rsidRPr="00E804D4" w:rsidRDefault="00DB2A47" w:rsidP="00DB2A47">
      <w:pPr>
        <w:ind w:left="360"/>
        <w:rPr>
          <w:rFonts w:ascii="Trebuchet MS" w:hAnsi="Trebuchet MS"/>
          <w:sz w:val="28"/>
          <w:szCs w:val="28"/>
        </w:rPr>
      </w:pPr>
      <w:r w:rsidRPr="00E804D4">
        <w:rPr>
          <w:rFonts w:ascii="Trebuchet MS" w:hAnsi="Trebuchet MS"/>
          <w:sz w:val="28"/>
          <w:szCs w:val="28"/>
        </w:rPr>
        <w:t>Use the following standard special provision on all projects</w:t>
      </w:r>
      <w:bookmarkEnd w:id="0"/>
      <w:r w:rsidRPr="00E804D4">
        <w:rPr>
          <w:rFonts w:ascii="Trebuchet MS" w:hAnsi="Trebuchet MS"/>
          <w:sz w:val="28"/>
          <w:szCs w:val="28"/>
        </w:rPr>
        <w:t>.</w:t>
      </w:r>
    </w:p>
    <w:p w14:paraId="1C649230" w14:textId="77777777" w:rsidR="00DB2A47" w:rsidRDefault="00DB2A47" w:rsidP="00DB2A47">
      <w:pPr>
        <w:jc w:val="center"/>
        <w:rPr>
          <w:color w:val="000000"/>
        </w:rPr>
      </w:pPr>
      <w:r>
        <w:rPr>
          <w:color w:val="000000"/>
        </w:rPr>
        <w:br w:type="page"/>
      </w:r>
    </w:p>
    <w:p w14:paraId="15620A5B" w14:textId="77777777" w:rsidR="00DB2A47" w:rsidRDefault="00DB2A47" w:rsidP="00DB2A47">
      <w:pPr>
        <w:rPr>
          <w:rFonts w:ascii="Trebuchet MS" w:eastAsia="Trebuchet MS" w:hAnsi="Trebuchet MS" w:cs="Trebuchet MS"/>
          <w:b/>
        </w:rPr>
      </w:pPr>
      <w:r>
        <w:rPr>
          <w:rFonts w:ascii="Trebuchet MS" w:eastAsia="Trebuchet MS" w:hAnsi="Trebuchet MS" w:cs="Trebuchet MS"/>
          <w:b/>
        </w:rPr>
        <w:lastRenderedPageBreak/>
        <w:t>Revise Section 105 of the Standard Specifications as follows:</w:t>
      </w:r>
    </w:p>
    <w:p w14:paraId="2E89F244" w14:textId="6709EC24" w:rsidR="00B47224" w:rsidRPr="00B47224" w:rsidRDefault="00DB2A47" w:rsidP="00B47224">
      <w:pPr>
        <w:spacing w:before="240" w:after="240" w:line="276" w:lineRule="auto"/>
        <w:rPr>
          <w:rFonts w:ascii="Trebuchet MS" w:eastAsia="Trebuchet MS" w:hAnsi="Trebuchet MS" w:cs="Trebuchet MS"/>
          <w:b/>
        </w:rPr>
      </w:pPr>
      <w:r>
        <w:rPr>
          <w:rFonts w:ascii="Trebuchet MS" w:eastAsia="Trebuchet MS" w:hAnsi="Trebuchet MS" w:cs="Trebuchet MS"/>
          <w:b/>
        </w:rPr>
        <w:t>Remove and replace Subsections 105.22, “Dispute Resolution”; 105.23, “Dispute Review Board”; and 105.24, “</w:t>
      </w:r>
      <w:r w:rsidR="00B47224" w:rsidRPr="00B47224">
        <w:rPr>
          <w:rFonts w:ascii="Trebuchet MS" w:eastAsia="Trebuchet MS" w:hAnsi="Trebuchet MS" w:cs="Trebuchet MS"/>
          <w:b/>
          <w:bCs/>
        </w:rPr>
        <w:t>Claims for Unresolved Disputes</w:t>
      </w:r>
      <w:r w:rsidR="00B47224">
        <w:rPr>
          <w:rFonts w:ascii="Trebuchet MS" w:eastAsia="Trebuchet MS" w:hAnsi="Trebuchet MS" w:cs="Trebuchet MS"/>
          <w:b/>
          <w:bCs/>
        </w:rPr>
        <w:t>”, as follows:</w:t>
      </w:r>
    </w:p>
    <w:p w14:paraId="00000001" w14:textId="4F514A5A" w:rsidR="008A3DA9" w:rsidRPr="00C06FF7" w:rsidRDefault="00836EB9">
      <w:pPr>
        <w:spacing w:after="200" w:line="246" w:lineRule="auto"/>
        <w:rPr>
          <w:rFonts w:ascii="Trebuchet MS" w:eastAsia="Trebuchet MS" w:hAnsi="Trebuchet MS" w:cs="Trebuchet MS"/>
        </w:rPr>
      </w:pPr>
      <w:r>
        <w:rPr>
          <w:rFonts w:ascii="Trebuchet MS" w:eastAsia="Trebuchet MS" w:hAnsi="Trebuchet MS" w:cs="Trebuchet MS"/>
          <w:b/>
          <w:color w:val="000000"/>
        </w:rPr>
        <w:t>105.22 Dispute Resolution.</w:t>
      </w:r>
      <w:r>
        <w:rPr>
          <w:rFonts w:ascii="Trebuchet MS" w:eastAsia="Trebuchet MS" w:hAnsi="Trebuchet MS" w:cs="Trebuchet MS"/>
        </w:rPr>
        <w:t xml:space="preserve">  </w:t>
      </w:r>
      <w:r w:rsidRPr="00C06FF7">
        <w:rPr>
          <w:rFonts w:ascii="Trebuchet MS" w:eastAsia="Trebuchet MS" w:hAnsi="Trebuchet MS" w:cs="Trebuchet MS"/>
        </w:rPr>
        <w:t>Subsections 105.22, 105.23, and 105.24 detail the process through which the parties (CDOT and the Contractor) agree to resolve any issue that may result in a Dispute. The process intends to resolve issues early, efficiently, and as close to the project level as possible. Figure 105-1 outlines the process. Specified time frames may be extended by mutual agreement of the Engineer and the Contractor. In these subsections, when a time frame ends on a Saturday, Sunday, or holiday, the time frame shall be extended to the next scheduled workday.</w:t>
      </w:r>
    </w:p>
    <w:p w14:paraId="00000002" w14:textId="77777777" w:rsidR="008A3DA9" w:rsidRDefault="00836EB9">
      <w:pPr>
        <w:spacing w:after="200" w:line="246" w:lineRule="auto"/>
      </w:pPr>
      <w:bookmarkStart w:id="2" w:name="_heading=h.gjdgxs" w:colFirst="0" w:colLast="0"/>
      <w:bookmarkEnd w:id="2"/>
      <w:r>
        <w:rPr>
          <w:rFonts w:ascii="Trebuchet MS" w:eastAsia="Trebuchet MS" w:hAnsi="Trebuchet MS" w:cs="Trebuchet MS"/>
        </w:rPr>
        <w:t>Definitions:</w:t>
      </w:r>
    </w:p>
    <w:p w14:paraId="00000003"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Issue.</w:t>
      </w:r>
      <w:r>
        <w:rPr>
          <w:rFonts w:ascii="Trebuchet MS" w:eastAsia="Trebuchet MS" w:hAnsi="Trebuchet MS" w:cs="Trebuchet MS"/>
        </w:rPr>
        <w:t xml:space="preserve">  A disagreement concerning contract price, contract time, interpretation of the Contract, or a combination thereof between the parties at the project level regarding or relating to the Contract. Issues include, but are not limited to, a disagreement resulting from a delay, a change order, another written order, or an oral order from the Project Engineer, including any direction, instruction, interpretation, or determination by the Project Engineer, interpretations of the Contract provisions, plans, or specifications or the existence of alleged differing site conditions.  </w:t>
      </w:r>
    </w:p>
    <w:p w14:paraId="00000004" w14:textId="371D9D9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Dispute.</w:t>
      </w:r>
      <w:r w:rsidR="00C85B91">
        <w:rPr>
          <w:rFonts w:ascii="Trebuchet MS" w:eastAsia="Trebuchet MS" w:hAnsi="Trebuchet MS" w:cs="Trebuchet MS"/>
          <w:b/>
        </w:rPr>
        <w:t xml:space="preserve"> </w:t>
      </w:r>
      <w:r>
        <w:rPr>
          <w:rFonts w:ascii="Trebuchet MS" w:eastAsia="Trebuchet MS" w:hAnsi="Trebuchet MS" w:cs="Trebuchet MS"/>
          <w:b/>
        </w:rPr>
        <w:t xml:space="preserve"> </w:t>
      </w:r>
      <w:r>
        <w:rPr>
          <w:rFonts w:ascii="Trebuchet MS" w:eastAsia="Trebuchet MS" w:hAnsi="Trebuchet MS" w:cs="Trebuchet MS"/>
        </w:rPr>
        <w:t>An Issue that the Contractor and CDOT have not been able to resolve, and for which the Contractor submits a written formal notice of Dispute per subsection 105.22(c).</w:t>
      </w:r>
    </w:p>
    <w:p w14:paraId="00000005" w14:textId="3F9AF7B4"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Claim.</w:t>
      </w:r>
      <w:r>
        <w:rPr>
          <w:rFonts w:ascii="Trebuchet MS" w:eastAsia="Trebuchet MS" w:hAnsi="Trebuchet MS" w:cs="Trebuchet MS"/>
        </w:rPr>
        <w:t xml:space="preserve"> </w:t>
      </w:r>
      <w:r w:rsidR="00C85B91">
        <w:rPr>
          <w:rFonts w:ascii="Trebuchet MS" w:eastAsia="Trebuchet MS" w:hAnsi="Trebuchet MS" w:cs="Trebuchet MS"/>
        </w:rPr>
        <w:t xml:space="preserve"> </w:t>
      </w:r>
      <w:r>
        <w:rPr>
          <w:rFonts w:ascii="Trebuchet MS" w:eastAsia="Trebuchet MS" w:hAnsi="Trebuchet MS" w:cs="Trebuchet MS"/>
        </w:rPr>
        <w:t xml:space="preserve">A Dispute not resolved at the Resident Engineer level or resolved after a DRB recommendation. </w:t>
      </w:r>
    </w:p>
    <w:p w14:paraId="00000006"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Merit.</w:t>
      </w:r>
      <w:r>
        <w:rPr>
          <w:rFonts w:ascii="Trebuchet MS" w:eastAsia="Trebuchet MS" w:hAnsi="Trebuchet MS" w:cs="Trebuchet MS"/>
        </w:rPr>
        <w:t xml:space="preserve">  Refers to the right of a Contractor to recover on a Claim or Dispute, irrespective of Quantum, based on the substance, elements, and grounds of that Claim or Dispute.  </w:t>
      </w:r>
    </w:p>
    <w:p w14:paraId="00000007" w14:textId="3378E2A1"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Quantum.</w:t>
      </w:r>
      <w:r>
        <w:rPr>
          <w:rFonts w:ascii="Trebuchet MS" w:eastAsia="Trebuchet MS" w:hAnsi="Trebuchet MS" w:cs="Trebuchet MS"/>
        </w:rPr>
        <w:t xml:space="preserve"> </w:t>
      </w:r>
      <w:r w:rsidR="00C85B91">
        <w:rPr>
          <w:rFonts w:ascii="Trebuchet MS" w:eastAsia="Trebuchet MS" w:hAnsi="Trebuchet MS" w:cs="Trebuchet MS"/>
        </w:rPr>
        <w:t xml:space="preserve"> </w:t>
      </w:r>
      <w:r>
        <w:rPr>
          <w:rFonts w:ascii="Trebuchet MS" w:eastAsia="Trebuchet MS" w:hAnsi="Trebuchet MS" w:cs="Trebuchet MS"/>
        </w:rPr>
        <w:t>Refers to the quantity or amount of compensation or time (or both), if any, that may be granted to the Contractor when a Dispute or Claim is found to have Merit.</w:t>
      </w:r>
    </w:p>
    <w:p w14:paraId="00000008" w14:textId="77777777"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 xml:space="preserve">The Contractor shall bring the Issue(s) to the Project Engineer’s attention, in writing, within 15 days of the Contractor being aware of the Issue(s). Written notice must take the form of a stand-alone, non-chain e-mail or letter, addressed and delivered to the Project Engineer. If a Contractor provides written notice outside of the 15-day deadline, it shall be presumed that CDOT suffered prejudice. Where the Contractor </w:t>
      </w:r>
      <w:r>
        <w:rPr>
          <w:rFonts w:ascii="Trebuchet MS" w:eastAsia="Trebuchet MS" w:hAnsi="Trebuchet MS" w:cs="Trebuchet MS"/>
        </w:rPr>
        <w:lastRenderedPageBreak/>
        <w:t>failed to provide the required notice, the failure to provide notice may be treated as a separate and threshold Dispute to be resolved before other related Dispute(s) are submitted, addressed, or resolved.</w:t>
      </w:r>
    </w:p>
    <w:p w14:paraId="00000009" w14:textId="06338499"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Disputes from subcontractors, material suppliers, or any other entity not party to the Contract shall be submitted through the Contractor. The review of a pass-through Dispute does not create privity of Contract between CDOT and the subcontractor.</w:t>
      </w:r>
    </w:p>
    <w:p w14:paraId="0000000A" w14:textId="77777777"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An audit may be performed by the Department for any Dispute or Claim. All audits will be completed within 90 days of the request for an audit, provided the Contractor allows the auditors reasonable and timely access to the Contractor’s books and records.</w:t>
      </w:r>
    </w:p>
    <w:p w14:paraId="0000000B"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If CDOT does not respond within the specified timelines, the Contractor may advance the Dispute to the next review level in the dispute resolution process.</w:t>
      </w:r>
    </w:p>
    <w:p w14:paraId="0000000C"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When the Project Engineer is a Consultant Project Engineer, actions, decisions, and determinations specified as made by the Project Engineer shall be made by the Resident Engineer.</w:t>
      </w:r>
    </w:p>
    <w:p w14:paraId="0000000D"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The dispute resolution process set forth in this subsection shall be exhausted in its entirety before initiation of litigation. Failure to comply with the requirements set forth in this subsection, including notice requirements, shall bar either party from any further administrative, equitable, or legal remedies. Subject to the rebuttable presumption of prejudice to CDOT set forth above, if a deadline is missed that does not prejudice either party, further relief shall be allowed.</w:t>
      </w:r>
    </w:p>
    <w:p w14:paraId="0000000E"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All written notices of Dispute shall be submitted within 30 days of the date of the Project Engineer’s Final Acceptance letter; see subsection 105.21(b).  </w:t>
      </w:r>
    </w:p>
    <w:p w14:paraId="0000000F"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When a project has a landscape maintenance period, the Project Engineer will grant partial acceptance per subsection 105.21(a). This partial acceptance will be the project acceptance of all the construction work performed before this partial acceptance.  </w:t>
      </w:r>
    </w:p>
    <w:p w14:paraId="00000010"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All Disputes and Claims related to the work in which this partial acceptance is granted shall be submitted within 30 days of the Project Engineer’s partial acceptance.</w:t>
      </w:r>
    </w:p>
    <w:p w14:paraId="00000011"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Should the Contractor’s Dispute use the Total Cost approach for calculating damages, damages will be determined by subtracting the contract amount from the total cost of performance. Should the Contractor’s Dispute use the Modified Total Cost approach for calculating damages, if the Contractor’s bid was unrealistic in part, or some of its costs were unreasonable or some of its damages were caused by its own errors, those costs and damages will be deducted from the total cost of performance to arrive at the Modified Total Cost. The Total Cost or Modified Total Cost basis for calculating damages shall not be available for any Disputes or Claims seeking damages where the </w:t>
      </w:r>
      <w:r>
        <w:rPr>
          <w:rFonts w:ascii="Trebuchet MS" w:eastAsia="Trebuchet MS" w:hAnsi="Trebuchet MS" w:cs="Trebuchet MS"/>
        </w:rPr>
        <w:lastRenderedPageBreak/>
        <w:t xml:space="preserve">Contractor could have kept separate cost records at the time the Dispute arose as described in subsection 105.22(a). </w:t>
      </w:r>
    </w:p>
    <w:p w14:paraId="00000012" w14:textId="552408FD" w:rsidR="008A3DA9" w:rsidRDefault="00836EB9">
      <w:pPr>
        <w:numPr>
          <w:ilvl w:val="0"/>
          <w:numId w:val="24"/>
        </w:numPr>
        <w:pBdr>
          <w:top w:val="nil"/>
          <w:left w:val="nil"/>
          <w:bottom w:val="nil"/>
          <w:right w:val="nil"/>
          <w:between w:val="nil"/>
        </w:pBdr>
        <w:tabs>
          <w:tab w:val="left" w:pos="630"/>
        </w:tabs>
        <w:spacing w:after="80" w:line="246" w:lineRule="auto"/>
        <w:rPr>
          <w:rFonts w:ascii="Trebuchet MS" w:eastAsia="Trebuchet MS" w:hAnsi="Trebuchet MS" w:cs="Trebuchet MS"/>
          <w:color w:val="000000"/>
        </w:rPr>
      </w:pPr>
      <w:r>
        <w:rPr>
          <w:rFonts w:ascii="Trebuchet MS" w:eastAsia="Trebuchet MS" w:hAnsi="Trebuchet MS" w:cs="Trebuchet MS"/>
          <w:i/>
          <w:color w:val="000000"/>
        </w:rPr>
        <w:t>Document Retention</w:t>
      </w:r>
      <w:r>
        <w:rPr>
          <w:rFonts w:ascii="Trebuchet MS" w:eastAsia="Trebuchet MS" w:hAnsi="Trebuchet MS" w:cs="Trebuchet MS"/>
          <w:color w:val="000000"/>
        </w:rPr>
        <w:t xml:space="preserve">. The Contractor shall keep full and complete records of the costs and additional time incurred for each Dispute for a period of at least three years after the date of final payment or until </w:t>
      </w:r>
      <w:r>
        <w:rPr>
          <w:rFonts w:ascii="Trebuchet MS" w:eastAsia="Trebuchet MS" w:hAnsi="Trebuchet MS" w:cs="Trebuchet MS"/>
        </w:rPr>
        <w:t xml:space="preserve">the </w:t>
      </w:r>
      <w:r>
        <w:rPr>
          <w:rFonts w:ascii="Trebuchet MS" w:eastAsia="Trebuchet MS" w:hAnsi="Trebuchet MS" w:cs="Trebuchet MS"/>
          <w:color w:val="000000"/>
        </w:rPr>
        <w:t xml:space="preserve">Dispute is resolved, whichever is </w:t>
      </w:r>
      <w:r>
        <w:rPr>
          <w:rFonts w:ascii="Trebuchet MS" w:eastAsia="Trebuchet MS" w:hAnsi="Trebuchet MS" w:cs="Trebuchet MS"/>
        </w:rPr>
        <w:t>longer</w:t>
      </w:r>
      <w:r>
        <w:rPr>
          <w:rFonts w:ascii="Trebuchet MS" w:eastAsia="Trebuchet MS" w:hAnsi="Trebuchet MS" w:cs="Trebuchet MS"/>
          <w:color w:val="000000"/>
        </w:rPr>
        <w:t xml:space="preserve">. The Contractor, subcontractors, and </w:t>
      </w:r>
      <w:r>
        <w:rPr>
          <w:rFonts w:ascii="Trebuchet MS" w:eastAsia="Trebuchet MS" w:hAnsi="Trebuchet MS" w:cs="Trebuchet MS"/>
        </w:rPr>
        <w:t>lower-tier</w:t>
      </w:r>
      <w:r>
        <w:rPr>
          <w:rFonts w:ascii="Trebuchet MS" w:eastAsia="Trebuchet MS" w:hAnsi="Trebuchet MS" w:cs="Trebuchet MS"/>
          <w:color w:val="000000"/>
        </w:rPr>
        <w:t xml:space="preserve"> subcontractors shall provide adequate facilities, acceptable to the Project Engineer, for an audit during normal business hours. The Contractor shall permit the Project Engineer or Department auditor to examine and copy those records and all other records required by the Project Engineer to determine the facts or contentions involved in the Dispute.  The Contractor shall identify and segregate any documents or information that the Contractor considers particularly sensitive, such as confidential or proprietary information.</w:t>
      </w:r>
    </w:p>
    <w:p w14:paraId="00000013" w14:textId="77777777" w:rsidR="008A3DA9" w:rsidRDefault="00836EB9">
      <w:pPr>
        <w:pBdr>
          <w:top w:val="nil"/>
          <w:left w:val="nil"/>
          <w:bottom w:val="nil"/>
          <w:right w:val="nil"/>
          <w:between w:val="nil"/>
        </w:pBdr>
        <w:spacing w:line="246" w:lineRule="auto"/>
        <w:ind w:left="360"/>
        <w:rPr>
          <w:rFonts w:ascii="Trebuchet MS" w:eastAsia="Trebuchet MS" w:hAnsi="Trebuchet MS" w:cs="Trebuchet MS"/>
          <w:color w:val="000000"/>
        </w:rPr>
      </w:pPr>
      <w:r>
        <w:rPr>
          <w:rFonts w:ascii="Trebuchet MS" w:eastAsia="Trebuchet MS" w:hAnsi="Trebuchet MS" w:cs="Trebuchet MS"/>
          <w:color w:val="000000"/>
        </w:rPr>
        <w:t>Throughout the Dispute, the Contractor and the Project Engineer shall keep complete daily records of extra costs and time incurred, per the following procedures:</w:t>
      </w:r>
    </w:p>
    <w:p w14:paraId="00000014" w14:textId="77777777" w:rsidR="008A3DA9" w:rsidRDefault="00836EB9">
      <w:pPr>
        <w:widowControl/>
        <w:numPr>
          <w:ilvl w:val="0"/>
          <w:numId w:val="25"/>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Daily records shall identify each operation affected, the specific locations where work is affected, and the potential effect to the project’s schedule.  Such records shall also reflect all labor, material, and equipment applicable to the affected operations. </w:t>
      </w:r>
    </w:p>
    <w:p w14:paraId="00000015" w14:textId="017293CA" w:rsidR="008A3DA9" w:rsidRDefault="00836EB9">
      <w:pPr>
        <w:widowControl/>
        <w:numPr>
          <w:ilvl w:val="0"/>
          <w:numId w:val="25"/>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On the first workday of each week following the date of the written notice of Dispute, the Contractor shall provide the Project Engineer with the daily records for the preceding week. If the Contractor’s records indicate costs greater than those kept by the Department, the Project Engineer will meet with the Contractor and present </w:t>
      </w:r>
      <w:r>
        <w:rPr>
          <w:rFonts w:ascii="Trebuchet MS" w:eastAsia="Trebuchet MS" w:hAnsi="Trebuchet MS" w:cs="Trebuchet MS"/>
        </w:rPr>
        <w:t>CDOT’s</w:t>
      </w:r>
      <w:r>
        <w:rPr>
          <w:rFonts w:ascii="Trebuchet MS" w:eastAsia="Trebuchet MS" w:hAnsi="Trebuchet MS" w:cs="Trebuchet MS"/>
          <w:color w:val="000000"/>
        </w:rPr>
        <w:t xml:space="preserve"> records to the Contractor at the meeting. The Contractor shall notify the Engineer in writing within three workdays of any inaccuracies noted in, or disagreements with, the Department’s records.  </w:t>
      </w:r>
    </w:p>
    <w:p w14:paraId="00000016" w14:textId="239C5452" w:rsidR="008A3DA9" w:rsidRDefault="00836EB9">
      <w:pPr>
        <w:numPr>
          <w:ilvl w:val="0"/>
          <w:numId w:val="24"/>
        </w:numPr>
        <w:pBdr>
          <w:top w:val="nil"/>
          <w:left w:val="nil"/>
          <w:bottom w:val="nil"/>
          <w:right w:val="nil"/>
          <w:between w:val="nil"/>
        </w:pBdr>
        <w:spacing w:after="120" w:line="246" w:lineRule="auto"/>
      </w:pPr>
      <w:r>
        <w:rPr>
          <w:rFonts w:ascii="Trebuchet MS" w:eastAsia="Trebuchet MS" w:hAnsi="Trebuchet MS" w:cs="Trebuchet MS"/>
          <w:i/>
        </w:rPr>
        <w:t>Initial Dispute Resolution Process.</w:t>
      </w:r>
      <w:r>
        <w:rPr>
          <w:rFonts w:ascii="Trebuchet MS" w:eastAsia="Trebuchet MS" w:hAnsi="Trebuchet MS" w:cs="Trebuchet MS"/>
        </w:rPr>
        <w:t xml:space="preserve"> </w:t>
      </w:r>
      <w:r>
        <w:rPr>
          <w:rFonts w:ascii="Trebuchet MS" w:eastAsia="Trebuchet MS" w:hAnsi="Trebuchet MS" w:cs="Trebuchet MS"/>
          <w:color w:val="000000"/>
        </w:rPr>
        <w:t>To initiate the Dispute resolution process, the Contractor shall provide a written notice of Dispute to the Project Engineer upon the failure of the Parties to resolve the Issue through negotiation. Disputes will not be considered unless the Contractor has first complied with specified Issue resolution processes such as those specified in subsections 104.02, 106.05, 108.08(a), and 108.08(d).</w:t>
      </w:r>
    </w:p>
    <w:p w14:paraId="00000017" w14:textId="77777777" w:rsidR="008A3DA9" w:rsidRDefault="00FA6185">
      <w:pPr>
        <w:spacing w:after="120"/>
        <w:ind w:left="360" w:hanging="360"/>
        <w:rPr>
          <w:rFonts w:ascii="Trebuchet MS" w:eastAsia="Trebuchet MS" w:hAnsi="Trebuchet MS" w:cs="Trebuchet MS"/>
        </w:rPr>
      </w:pPr>
      <w:sdt>
        <w:sdtPr>
          <w:tag w:val="goog_rdk_0"/>
          <w:id w:val="2126269358"/>
        </w:sdtPr>
        <w:sdtEndPr/>
        <w:sdtContent>
          <w:r w:rsidR="00836EB9">
            <w:rPr>
              <w:rFonts w:ascii="Trebuchet MS" w:eastAsia="Trebuchet MS" w:hAnsi="Trebuchet MS" w:cs="Trebuchet MS"/>
            </w:rPr>
            <w:tab/>
          </w:r>
        </w:sdtContent>
      </w:sdt>
      <w:r w:rsidR="00836EB9">
        <w:rPr>
          <w:rFonts w:ascii="Trebuchet MS" w:eastAsia="Trebuchet MS" w:hAnsi="Trebuchet MS" w:cs="Trebuchet MS"/>
        </w:rPr>
        <w:t>The Contractor shall supplement the written notice of Dispute within 15 days with a written Request for Equitable Adjustment (REA) providing the following:</w:t>
      </w:r>
    </w:p>
    <w:p w14:paraId="00000018"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The date of the Dispute.</w:t>
      </w:r>
    </w:p>
    <w:p w14:paraId="00000019"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The nature of the circumstances that caused the Dispute.</w:t>
      </w:r>
    </w:p>
    <w:p w14:paraId="0000001A"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lastRenderedPageBreak/>
        <w:t xml:space="preserve">A detailed explanation of the Dispute, citing specific provisions of the Contract and any basis, legal or factual, that supports the Dispute. </w:t>
      </w:r>
    </w:p>
    <w:p w14:paraId="0000001B"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If any, the estimated Quantum, calculated per the methods set forth in subsection 105.24(b)12, with supporting documentation.</w:t>
      </w:r>
    </w:p>
    <w:p w14:paraId="0000001C" w14:textId="77777777" w:rsidR="008A3DA9" w:rsidRDefault="00836EB9">
      <w:pPr>
        <w:widowControl/>
        <w:numPr>
          <w:ilvl w:val="0"/>
          <w:numId w:val="20"/>
        </w:numPr>
        <w:spacing w:after="200"/>
        <w:ind w:left="720" w:hanging="360"/>
        <w:rPr>
          <w:rFonts w:ascii="Trebuchet MS" w:eastAsia="Trebuchet MS" w:hAnsi="Trebuchet MS" w:cs="Trebuchet MS"/>
        </w:rPr>
      </w:pPr>
      <w:r>
        <w:rPr>
          <w:rFonts w:ascii="Trebuchet MS" w:eastAsia="Trebuchet MS" w:hAnsi="Trebuchet MS" w:cs="Trebuchet MS"/>
        </w:rPr>
        <w:t>An analysis of the progress schedule showing the schedule change or disruption, if the Contractor is asserting a schedule change or disruption. This analysis shall meet the requirements of subsection 108.08(d).</w:t>
      </w:r>
    </w:p>
    <w:p w14:paraId="0000001D" w14:textId="77777777" w:rsidR="008A3DA9" w:rsidRDefault="00836EB9">
      <w:pPr>
        <w:spacing w:after="200"/>
        <w:ind w:left="360"/>
        <w:rPr>
          <w:rFonts w:ascii="Trebuchet MS" w:eastAsia="Trebuchet MS" w:hAnsi="Trebuchet MS" w:cs="Trebuchet MS"/>
        </w:rPr>
      </w:pPr>
      <w:r>
        <w:rPr>
          <w:rFonts w:ascii="Trebuchet MS" w:eastAsia="Trebuchet MS" w:hAnsi="Trebuchet MS" w:cs="Trebuchet MS"/>
        </w:rPr>
        <w:t xml:space="preserve">The Contractor shall submit as much information on the Quantum and impacts to the Contract time as is reasonably available with the REA and then supplement the REA as additional information becomes available. If the Dispute escalates to the DRB process, neither party shall provide or present to the DRB any Issue or any information that was not contained in the REA and fully submitted in writing to the Project Engineer and Resident Engineer during the subsection 105.22 process. </w:t>
      </w:r>
      <w:r>
        <w:rPr>
          <w:rFonts w:ascii="Trebuchet MS" w:eastAsia="Trebuchet MS" w:hAnsi="Trebuchet MS" w:cs="Trebuchet MS"/>
        </w:rPr>
        <w:tab/>
      </w:r>
    </w:p>
    <w:p w14:paraId="0000001E" w14:textId="77777777" w:rsidR="008A3DA9" w:rsidRDefault="00836EB9">
      <w:pPr>
        <w:numPr>
          <w:ilvl w:val="0"/>
          <w:numId w:val="2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i/>
          <w:color w:val="000000"/>
        </w:rPr>
        <w:t>Project Engineer Review</w:t>
      </w:r>
      <w:r>
        <w:rPr>
          <w:rFonts w:ascii="Trebuchet MS" w:eastAsia="Trebuchet MS" w:hAnsi="Trebuchet MS" w:cs="Trebuchet MS"/>
          <w:color w:val="000000"/>
        </w:rPr>
        <w:t xml:space="preserve">.  Within 15 days after receipt of the REA, the Project Engineer will meet with the Contractor to discuss the Merits of the Dispute. Within seven days after this meeting, the Project Engineer will </w:t>
      </w:r>
      <w:r>
        <w:rPr>
          <w:rFonts w:ascii="Trebuchet MS" w:eastAsia="Trebuchet MS" w:hAnsi="Trebuchet MS" w:cs="Trebuchet MS"/>
        </w:rPr>
        <w:t>i</w:t>
      </w:r>
      <w:r>
        <w:rPr>
          <w:rFonts w:ascii="Trebuchet MS" w:eastAsia="Trebuchet MS" w:hAnsi="Trebuchet MS" w:cs="Trebuchet MS"/>
          <w:color w:val="000000"/>
        </w:rPr>
        <w:t>ssue a written decision on the Merits of the Dispute.</w:t>
      </w:r>
    </w:p>
    <w:p w14:paraId="0000001F" w14:textId="3F5BA083"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The Project Engineer will either deny the Merits of the Dispute or notify the Contractor that the Dispute has Merit. This determination will include a summary of the relevant facts, Contract provisions supporting the determination, and an evaluation of all scheduling issues that may be involved.</w:t>
      </w:r>
    </w:p>
    <w:p w14:paraId="00000020" w14:textId="392994F3"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If the Dispute is determined to have Merit, the Contractor and the Project Engineer will determine the adjustment in payment, schedule, or both within 30 days. When a satisfactory adjustment is determined, it shall be implemented per subsections 106.05, 108.08, 109.04, 109.05, or 109.10, and the Dispute is resolved.</w:t>
      </w:r>
    </w:p>
    <w:p w14:paraId="00000021" w14:textId="77777777"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the Contractor accepts the Project Engineer's denial of the Merits of the Dispute, the Dispute is resolved, and no further action will be taken.  If the Contractor does not respond in seven days, it will be assumed he has accepted the denial. If the Contractor rejects the Project Engineer's denial of the Merits of the Dispute or a satisfactory adjustment of payment or schedule cannot be agreed upon within 30 days, the Contractor may further pursue resolution of the Dispute by providing written notice to the Resident Engineer within seven days, according to subsection 105.22(e). </w:t>
      </w:r>
    </w:p>
    <w:p w14:paraId="00000022" w14:textId="77777777" w:rsidR="008A3DA9" w:rsidRDefault="00836EB9">
      <w:pPr>
        <w:widowControl/>
        <w:numPr>
          <w:ilvl w:val="0"/>
          <w:numId w:val="24"/>
        </w:numPr>
        <w:pBdr>
          <w:top w:val="nil"/>
          <w:left w:val="nil"/>
          <w:bottom w:val="nil"/>
          <w:right w:val="nil"/>
          <w:between w:val="nil"/>
        </w:pBdr>
        <w:tabs>
          <w:tab w:val="left" w:pos="540"/>
        </w:tabs>
        <w:spacing w:after="120" w:line="246" w:lineRule="auto"/>
        <w:rPr>
          <w:rFonts w:ascii="Trebuchet MS" w:eastAsia="Trebuchet MS" w:hAnsi="Trebuchet MS" w:cs="Trebuchet MS"/>
          <w:color w:val="000000"/>
        </w:rPr>
      </w:pPr>
      <w:r>
        <w:rPr>
          <w:rFonts w:ascii="Trebuchet MS" w:eastAsia="Trebuchet MS" w:hAnsi="Trebuchet MS" w:cs="Trebuchet MS"/>
          <w:i/>
          <w:color w:val="000000"/>
        </w:rPr>
        <w:t>Resident Engineer Review.</w:t>
      </w:r>
      <w:r>
        <w:rPr>
          <w:rFonts w:ascii="Trebuchet MS" w:eastAsia="Trebuchet MS" w:hAnsi="Trebuchet MS" w:cs="Trebuchet MS"/>
          <w:color w:val="000000"/>
        </w:rPr>
        <w:t xml:space="preserve">  Within seven days after receipt of the Contractor's written notice to the Resident Engineer of unsatisfactory resolution of the Dispute, the Project Engineer and Resident Engineer will hold at least one meeting (or more than one meeting upon mutual agreement of the parties) with the Contractor</w:t>
      </w:r>
      <w:r>
        <w:rPr>
          <w:rFonts w:ascii="Trebuchet MS" w:eastAsia="Trebuchet MS" w:hAnsi="Trebuchet MS" w:cs="Trebuchet MS"/>
        </w:rPr>
        <w:t>.</w:t>
      </w:r>
      <w:r>
        <w:rPr>
          <w:rFonts w:ascii="Trebuchet MS" w:eastAsia="Trebuchet MS" w:hAnsi="Trebuchet MS" w:cs="Trebuchet MS"/>
          <w:color w:val="000000"/>
        </w:rPr>
        <w:t xml:space="preserve"> </w:t>
      </w:r>
    </w:p>
    <w:p w14:paraId="00000023" w14:textId="143A81A4" w:rsidR="008A3DA9" w:rsidRDefault="00836EB9">
      <w:pPr>
        <w:widowControl/>
        <w:pBdr>
          <w:top w:val="nil"/>
          <w:left w:val="nil"/>
          <w:bottom w:val="nil"/>
          <w:right w:val="nil"/>
          <w:between w:val="nil"/>
        </w:pBdr>
        <w:tabs>
          <w:tab w:val="left" w:pos="450"/>
        </w:tabs>
        <w:spacing w:after="120" w:line="246" w:lineRule="auto"/>
        <w:ind w:left="360"/>
      </w:pPr>
      <w:r>
        <w:rPr>
          <w:rFonts w:ascii="Trebuchet MS" w:eastAsia="Trebuchet MS" w:hAnsi="Trebuchet MS" w:cs="Trebuchet MS"/>
          <w:color w:val="000000"/>
        </w:rPr>
        <w:lastRenderedPageBreak/>
        <w:t>Meetings shall continue weekly for a period of up to 30 days.</w:t>
      </w:r>
      <w:r>
        <w:rPr>
          <w:rFonts w:ascii="Trebuchet MS" w:eastAsia="Trebuchet MS" w:hAnsi="Trebuchet MS" w:cs="Trebuchet MS"/>
        </w:rPr>
        <w:t xml:space="preserve"> Meetings</w:t>
      </w:r>
      <w:r>
        <w:rPr>
          <w:rFonts w:ascii="Trebuchet MS" w:eastAsia="Trebuchet MS" w:hAnsi="Trebuchet MS" w:cs="Trebuchet MS"/>
          <w:color w:val="000000"/>
        </w:rPr>
        <w:t xml:space="preserve"> shall include a Contractor's representative with decision authority above the project level to discuss the Dispute. When the Project Engineer is a Consultant and the Resident Engineer rendered the Project Engineer</w:t>
      </w:r>
      <w:r>
        <w:rPr>
          <w:rFonts w:ascii="Trebuchet MS" w:eastAsia="Trebuchet MS" w:hAnsi="Trebuchet MS" w:cs="Trebuchet MS"/>
        </w:rPr>
        <w:t>’s</w:t>
      </w:r>
      <w:r>
        <w:rPr>
          <w:rFonts w:ascii="Trebuchet MS" w:eastAsia="Trebuchet MS" w:hAnsi="Trebuchet MS" w:cs="Trebuchet MS"/>
          <w:color w:val="000000"/>
        </w:rPr>
        <w:t xml:space="preserve"> written decision, the Program Engineer will render the Resident Engineer</w:t>
      </w:r>
      <w:r>
        <w:rPr>
          <w:rFonts w:ascii="Trebuchet MS" w:eastAsia="Trebuchet MS" w:hAnsi="Trebuchet MS" w:cs="Trebuchet MS"/>
        </w:rPr>
        <w:t>’s</w:t>
      </w:r>
      <w:r>
        <w:rPr>
          <w:rFonts w:ascii="Trebuchet MS" w:eastAsia="Trebuchet MS" w:hAnsi="Trebuchet MS" w:cs="Trebuchet MS"/>
          <w:color w:val="000000"/>
        </w:rPr>
        <w:t xml:space="preserve"> written decision. Within 7 days after this meeting, the Resident Engineer will </w:t>
      </w:r>
      <w:r>
        <w:rPr>
          <w:rFonts w:ascii="Trebuchet MS" w:eastAsia="Trebuchet MS" w:hAnsi="Trebuchet MS" w:cs="Trebuchet MS"/>
        </w:rPr>
        <w:t>i</w:t>
      </w:r>
      <w:r>
        <w:rPr>
          <w:rFonts w:ascii="Trebuchet MS" w:eastAsia="Trebuchet MS" w:hAnsi="Trebuchet MS" w:cs="Trebuchet MS"/>
          <w:color w:val="000000"/>
        </w:rPr>
        <w:t xml:space="preserve">ssue a written decision on the Merits of the Dispute.  </w:t>
      </w:r>
    </w:p>
    <w:p w14:paraId="00000024" w14:textId="77777777" w:rsidR="008A3DA9" w:rsidRDefault="00836EB9">
      <w:pPr>
        <w:widowControl/>
        <w:spacing w:after="120" w:line="246" w:lineRule="auto"/>
        <w:ind w:left="360"/>
        <w:rPr>
          <w:rFonts w:ascii="Trebuchet MS" w:eastAsia="Trebuchet MS" w:hAnsi="Trebuchet MS" w:cs="Trebuchet MS"/>
        </w:rPr>
      </w:pPr>
      <w:r>
        <w:rPr>
          <w:rFonts w:ascii="Trebuchet MS" w:eastAsia="Trebuchet MS" w:hAnsi="Trebuchet MS" w:cs="Trebuchet MS"/>
        </w:rPr>
        <w:t xml:space="preserve">If these meetings result in the resolution of the Dispute, the resolution will be implemented per subsections 108.08, 109.04, 109.05, or 109.10, and the Dispute is resolved.  </w:t>
      </w:r>
    </w:p>
    <w:p w14:paraId="00000025" w14:textId="77777777" w:rsidR="008A3DA9" w:rsidRDefault="00836EB9">
      <w:pPr>
        <w:widowControl/>
        <w:spacing w:after="120" w:line="246" w:lineRule="auto"/>
        <w:ind w:left="360"/>
        <w:rPr>
          <w:rFonts w:ascii="Trebuchet MS" w:eastAsia="Trebuchet MS" w:hAnsi="Trebuchet MS" w:cs="Trebuchet MS"/>
        </w:rPr>
      </w:pPr>
      <w:r>
        <w:rPr>
          <w:rFonts w:ascii="Trebuchet MS" w:eastAsia="Trebuchet MS" w:hAnsi="Trebuchet MS" w:cs="Trebuchet MS"/>
        </w:rPr>
        <w:t>If these meetings do not result in a resolution or the participants mutually agree that they have reached an impasse, the Dispute shall be presented to the Dispute Review Board per subsection 105.23.</w:t>
      </w:r>
    </w:p>
    <w:p w14:paraId="00000026" w14:textId="54D3E1CA" w:rsidR="008A3DA9" w:rsidRDefault="00836EB9">
      <w:pPr>
        <w:spacing w:after="120" w:line="246" w:lineRule="auto"/>
        <w:rPr>
          <w:rFonts w:ascii="Trebuchet MS" w:eastAsia="Trebuchet MS" w:hAnsi="Trebuchet MS" w:cs="Trebuchet MS"/>
        </w:rPr>
      </w:pPr>
      <w:bookmarkStart w:id="3" w:name="_heading=h.30j0zll" w:colFirst="0" w:colLast="0"/>
      <w:bookmarkEnd w:id="3"/>
      <w:r>
        <w:rPr>
          <w:rFonts w:ascii="Trebuchet MS" w:eastAsia="Trebuchet MS" w:hAnsi="Trebuchet MS" w:cs="Trebuchet MS"/>
          <w:b/>
          <w:color w:val="000000"/>
        </w:rPr>
        <w:t>105.23 Dispute Review Board</w:t>
      </w:r>
      <w:r>
        <w:rPr>
          <w:rFonts w:ascii="Trebuchet MS" w:eastAsia="Trebuchet MS" w:hAnsi="Trebuchet MS" w:cs="Trebuchet MS"/>
          <w:color w:val="000000"/>
        </w:rPr>
        <w:t>.</w:t>
      </w:r>
      <w:r>
        <w:rPr>
          <w:rFonts w:ascii="Trebuchet MS" w:eastAsia="Trebuchet MS" w:hAnsi="Trebuchet MS" w:cs="Trebuchet MS"/>
        </w:rPr>
        <w:t xml:space="preserve">  A Dispute Review Board (DRB) is an independent third party that will provide specialized expertise in technical areas and the administration of construction contracts. The DRB will assist in and facilitate the timely and equitable resolution of Disputes between CDOT and the Contractor in an effort to avoid animosity and construction delays, and to resolve Disputes as close to the project level as possible. The DRB shall be established and operate as provided and shall serve as an independent and impartial board. A DRB member shall not be called as a witness for future litigation.</w:t>
      </w:r>
    </w:p>
    <w:p w14:paraId="00000027" w14:textId="46650D4B" w:rsidR="008A3DA9" w:rsidRDefault="00836EB9">
      <w:pPr>
        <w:spacing w:after="120" w:line="246" w:lineRule="auto"/>
        <w:rPr>
          <w:rFonts w:ascii="Trebuchet MS" w:eastAsia="Trebuchet MS" w:hAnsi="Trebuchet MS" w:cs="Trebuchet MS"/>
        </w:rPr>
      </w:pPr>
      <w:r>
        <w:rPr>
          <w:rFonts w:ascii="Trebuchet MS" w:eastAsia="Trebuchet MS" w:hAnsi="Trebuchet MS" w:cs="Trebuchet MS"/>
        </w:rPr>
        <w:t>There are two types of DRBs: the “On Demand DRB” and the “Standing DRB”. The DRB shall be an “On Demand DRB” unless a “Standing DRB” is specified in the Contract.  An On Demand DRB may be established at any time during the project to assist with Issue and Dispute resolution and when the Project Engineer initiates a DRB review per subsection 105.23(a). A Standing DRB, when specified in the Contract, shall be established at the beginning of the project.</w:t>
      </w:r>
    </w:p>
    <w:p w14:paraId="00000028" w14:textId="77777777" w:rsidR="008A3DA9" w:rsidRDefault="00836EB9">
      <w:pPr>
        <w:numPr>
          <w:ilvl w:val="1"/>
          <w:numId w:val="7"/>
        </w:numPr>
        <w:spacing w:after="120" w:line="246" w:lineRule="auto"/>
        <w:ind w:left="0" w:firstLine="0"/>
        <w:rPr>
          <w:rFonts w:ascii="Trebuchet MS" w:eastAsia="Trebuchet MS" w:hAnsi="Trebuchet MS" w:cs="Trebuchet MS"/>
        </w:rPr>
      </w:pPr>
      <w:r>
        <w:rPr>
          <w:rFonts w:ascii="Trebuchet MS" w:eastAsia="Trebuchet MS" w:hAnsi="Trebuchet MS" w:cs="Trebuchet MS"/>
          <w:i/>
        </w:rPr>
        <w:t>Initiation of Dispute Review Board Review</w:t>
      </w:r>
      <w:r>
        <w:rPr>
          <w:rFonts w:ascii="Trebuchet MS" w:eastAsia="Trebuchet MS" w:hAnsi="Trebuchet MS" w:cs="Trebuchet MS"/>
        </w:rPr>
        <w:t xml:space="preserve">.  When a Dispute has not been resolved per subsection 105.22, the Project Engineer will initiate the DRB review process within five days after the period described in subsection 105.22(e).  </w:t>
      </w:r>
    </w:p>
    <w:p w14:paraId="00000029" w14:textId="77777777" w:rsidR="008A3DA9" w:rsidRDefault="00836EB9">
      <w:pPr>
        <w:numPr>
          <w:ilvl w:val="0"/>
          <w:numId w:val="15"/>
        </w:numPr>
        <w:spacing w:after="120" w:line="246" w:lineRule="auto"/>
        <w:ind w:left="0" w:firstLine="0"/>
        <w:rPr>
          <w:rFonts w:ascii="Trebuchet MS" w:eastAsia="Trebuchet MS" w:hAnsi="Trebuchet MS" w:cs="Trebuchet MS"/>
        </w:rPr>
      </w:pPr>
      <w:r>
        <w:rPr>
          <w:rFonts w:ascii="Trebuchet MS" w:eastAsia="Trebuchet MS" w:hAnsi="Trebuchet MS" w:cs="Trebuchet MS"/>
          <w:i/>
        </w:rPr>
        <w:t>Formation of Dispute Review Board</w:t>
      </w:r>
      <w:r>
        <w:rPr>
          <w:rFonts w:ascii="Trebuchet MS" w:eastAsia="Trebuchet MS" w:hAnsi="Trebuchet MS" w:cs="Trebuchet MS"/>
        </w:rPr>
        <w:t>.  DRBs will be established per the following procedures:</w:t>
      </w:r>
    </w:p>
    <w:p w14:paraId="0000002A" w14:textId="77777777" w:rsidR="008A3DA9" w:rsidRDefault="00836EB9" w:rsidP="00836EB9">
      <w:pPr>
        <w:numPr>
          <w:ilvl w:val="1"/>
          <w:numId w:val="6"/>
        </w:numPr>
        <w:tabs>
          <w:tab w:val="left" w:pos="810"/>
        </w:tabs>
        <w:spacing w:after="120" w:line="246" w:lineRule="auto"/>
        <w:ind w:left="720"/>
        <w:rPr>
          <w:rFonts w:ascii="Trebuchet MS" w:eastAsia="Trebuchet MS" w:hAnsi="Trebuchet MS" w:cs="Trebuchet MS"/>
        </w:rPr>
      </w:pPr>
      <w:r>
        <w:rPr>
          <w:rFonts w:ascii="Trebuchet MS" w:eastAsia="Trebuchet MS" w:hAnsi="Trebuchet MS" w:cs="Trebuchet MS"/>
        </w:rPr>
        <w:t xml:space="preserve">CDOT, in conjunction with the Colorado Contractors Association (CCA), will maintain a statewide list of pre-approved DRB candidates experienced in construction processes and the interpretation of contract documents, and the resolution of construction Disputes. Only individuals who have completed training (currently titled DRB Administration and Practice Training) through the Dispute Resolution Board Foundation or otherwise approved by CDOT can be a </w:t>
      </w:r>
      <w:r>
        <w:rPr>
          <w:rFonts w:ascii="Trebuchet MS" w:eastAsia="Trebuchet MS" w:hAnsi="Trebuchet MS" w:cs="Trebuchet MS"/>
        </w:rPr>
        <w:lastRenderedPageBreak/>
        <w:t xml:space="preserve">DRB member. DRB nominees shall be selected from the list of pre-approved candidates. When a DRB is formed, the parties shall execute the agreement set forth in subsection 105.23(m).  </w:t>
      </w:r>
    </w:p>
    <w:p w14:paraId="0000002B" w14:textId="77777777" w:rsidR="008A3DA9" w:rsidRDefault="00836EB9" w:rsidP="00836EB9">
      <w:pPr>
        <w:numPr>
          <w:ilvl w:val="1"/>
          <w:numId w:val="6"/>
        </w:numPr>
        <w:tabs>
          <w:tab w:val="left" w:pos="810"/>
        </w:tabs>
        <w:ind w:left="720"/>
        <w:rPr>
          <w:rFonts w:ascii="Trebuchet MS" w:eastAsia="Trebuchet MS" w:hAnsi="Trebuchet MS" w:cs="Trebuchet MS"/>
        </w:rPr>
      </w:pPr>
      <w:r>
        <w:rPr>
          <w:rFonts w:ascii="Trebuchet MS" w:eastAsia="Trebuchet MS" w:hAnsi="Trebuchet MS" w:cs="Trebuchet MS"/>
        </w:rPr>
        <w:t>If the Dispute has a value of $250,000 or less, the On Demand DRB shall have one member. The Contractor and CDOT shall select the DRB member and execute the Three-Party Agreement within 30 days of initiating the DRB process. If the parties do not agree on the DRB member, each shall select five candidates. Each party shall numerically rank their list using a scale of one to five, with one being their first choice and five being their last choice. If common candidates are listed, but the parties cannot agree, the common candidate with the lowest combined numerical ranking shall be selected. If there is no common candidate, the lists shall be combined, and each party shall eliminate three candidates from the list. Each party shall then numerically rank the remaining candidates, with Number 1 being the first choice. The candidate with the lowest combined numerical ranking shall be the DRB member. The CDOT Project Engineer will be responsible for having all parties execute the agreement.</w:t>
      </w:r>
    </w:p>
    <w:p w14:paraId="0000002D" w14:textId="77777777" w:rsidR="008A3DA9" w:rsidRDefault="00836EB9" w:rsidP="00836EB9">
      <w:pPr>
        <w:numPr>
          <w:ilvl w:val="1"/>
          <w:numId w:val="6"/>
        </w:numPr>
        <w:tabs>
          <w:tab w:val="left" w:pos="810"/>
        </w:tabs>
        <w:spacing w:after="120" w:line="247" w:lineRule="auto"/>
        <w:ind w:left="720"/>
        <w:rPr>
          <w:rFonts w:ascii="Trebuchet MS" w:eastAsia="Trebuchet MS" w:hAnsi="Trebuchet MS" w:cs="Trebuchet MS"/>
          <w:color w:val="231F20"/>
        </w:rPr>
      </w:pPr>
      <w:r>
        <w:rPr>
          <w:rFonts w:ascii="Trebuchet MS" w:eastAsia="Trebuchet MS" w:hAnsi="Trebuchet MS" w:cs="Trebuchet MS"/>
          <w:color w:val="231F20"/>
        </w:rPr>
        <w:t>If the Dispute has a value over $250,000, the On Demand DRB shall have three members. The Contractor and CDOT shall each select a member, and those two members shall select a third. Once the third member is approved, the three members will nominate one of them to be the Chair and execute the Three-Party Agreement within 45 days of initiating the DRB process.</w:t>
      </w:r>
    </w:p>
    <w:p w14:paraId="0000002E" w14:textId="19922903" w:rsidR="008A3DA9" w:rsidRDefault="00836EB9" w:rsidP="00836EB9">
      <w:pPr>
        <w:numPr>
          <w:ilvl w:val="1"/>
          <w:numId w:val="6"/>
        </w:numPr>
        <w:tabs>
          <w:tab w:val="left" w:pos="810"/>
        </w:tabs>
        <w:spacing w:after="120" w:line="246" w:lineRule="auto"/>
        <w:ind w:left="720"/>
        <w:rPr>
          <w:rFonts w:ascii="Trebuchet MS" w:eastAsia="Trebuchet MS" w:hAnsi="Trebuchet MS" w:cs="Trebuchet MS"/>
          <w:color w:val="231F20"/>
        </w:rPr>
      </w:pPr>
      <w:r>
        <w:rPr>
          <w:rFonts w:ascii="Trebuchet MS" w:eastAsia="Trebuchet MS" w:hAnsi="Trebuchet MS" w:cs="Trebuchet MS"/>
          <w:color w:val="231F20"/>
        </w:rPr>
        <w:t xml:space="preserve">The Standing DRB shall always have </w:t>
      </w:r>
      <w:r>
        <w:rPr>
          <w:rFonts w:ascii="Trebuchet MS" w:eastAsia="Trebuchet MS" w:hAnsi="Trebuchet MS" w:cs="Trebuchet MS"/>
        </w:rPr>
        <w:t>three m</w:t>
      </w:r>
      <w:r>
        <w:rPr>
          <w:rFonts w:ascii="Trebuchet MS" w:eastAsia="Trebuchet MS" w:hAnsi="Trebuchet MS" w:cs="Trebuchet MS"/>
          <w:color w:val="231F20"/>
        </w:rPr>
        <w:t>embers. The Contractor and CDOT shall each select a member, and those two members shall select a third member. Once the third member is approved, the three members will nominate one of them to be the Chair. The Contractor and CDOT shall submit their proposed Standing DRB members within five days of execution of the Contract. The third member shall be approved before the Pre-construction Conference. The third member shall be selected within 15 days of the execution of the Contract. Before construction starts, the parties shall execute the Three-Party Agreement. The CDOT Project Engineer will be responsible for</w:t>
      </w:r>
      <w:r>
        <w:rPr>
          <w:rFonts w:ascii="Trebuchet MS" w:eastAsia="Trebuchet MS" w:hAnsi="Trebuchet MS" w:cs="Trebuchet MS"/>
        </w:rPr>
        <w:t xml:space="preserve"> </w:t>
      </w:r>
      <w:r>
        <w:rPr>
          <w:rFonts w:ascii="Trebuchet MS" w:eastAsia="Trebuchet MS" w:hAnsi="Trebuchet MS" w:cs="Trebuchet MS"/>
          <w:color w:val="231F20"/>
        </w:rPr>
        <w:t xml:space="preserve">having all parties execute the agreement.  The Project Engineer will invite the Standing DRB members to the Pre-construction and any Project First conferences.  </w:t>
      </w:r>
    </w:p>
    <w:p w14:paraId="0000002F" w14:textId="77777777" w:rsidR="008A3DA9" w:rsidRDefault="00836EB9">
      <w:pPr>
        <w:numPr>
          <w:ilvl w:val="1"/>
          <w:numId w:val="3"/>
        </w:numPr>
        <w:spacing w:after="120" w:line="246" w:lineRule="auto"/>
        <w:ind w:left="720"/>
        <w:rPr>
          <w:rFonts w:ascii="Trebuchet MS" w:eastAsia="Trebuchet MS" w:hAnsi="Trebuchet MS" w:cs="Trebuchet MS"/>
        </w:rPr>
      </w:pPr>
      <w:r>
        <w:rPr>
          <w:rFonts w:ascii="Trebuchet MS" w:eastAsia="Trebuchet MS" w:hAnsi="Trebuchet MS" w:cs="Trebuchet MS"/>
        </w:rPr>
        <w:t xml:space="preserve">DRB members shall not have been involved in the administration of the project under consideration. CDOT and the Contractor shall inform their selected DRB member who the major firms/people are on the project and request their selected DRB member to review the CDOT disclosure requirements and Canon of Ethics and then submit a disclosure statement, which shall also be submitted to the other party. DRB candidates shall complete the DRB Disclosure </w:t>
      </w:r>
      <w:r>
        <w:rPr>
          <w:rFonts w:ascii="Trebuchet MS" w:eastAsia="Trebuchet MS" w:hAnsi="Trebuchet MS" w:cs="Trebuchet MS"/>
        </w:rPr>
        <w:lastRenderedPageBreak/>
        <w:t xml:space="preserve">Requirements and DRB Nominee Disclosure Form and disclose to the parties the following relationships: </w:t>
      </w:r>
    </w:p>
    <w:p w14:paraId="00000030" w14:textId="77777777" w:rsidR="008A3DA9" w:rsidRDefault="00836EB9">
      <w:pPr>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employment with either party</w:t>
      </w:r>
    </w:p>
    <w:p w14:paraId="00000031"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or current financial interests or ties to either party</w:t>
      </w:r>
    </w:p>
    <w:p w14:paraId="00000032"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or current professional relationships with either party</w:t>
      </w:r>
    </w:p>
    <w:p w14:paraId="00000033"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Anything else that might bring into question the impartiality or independence of the DRB member.</w:t>
      </w:r>
    </w:p>
    <w:p w14:paraId="00000034"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Before agreeing to serve on a DRB, members shall notify all parties of any other CDOT DRB’s they are serving or that they will be participating in another DRB.</w:t>
      </w:r>
    </w:p>
    <w:p w14:paraId="00000035" w14:textId="77777777" w:rsidR="008A3DA9" w:rsidRDefault="00836EB9">
      <w:pPr>
        <w:widowControl/>
        <w:spacing w:after="120" w:line="246" w:lineRule="auto"/>
        <w:ind w:left="1080" w:hanging="360"/>
        <w:rPr>
          <w:rFonts w:ascii="Trebuchet MS" w:eastAsia="Trebuchet MS" w:hAnsi="Trebuchet MS" w:cs="Trebuchet MS"/>
        </w:rPr>
      </w:pPr>
      <w:r>
        <w:rPr>
          <w:rFonts w:ascii="Trebuchet MS" w:eastAsia="Trebuchet MS" w:hAnsi="Trebuchet MS" w:cs="Trebuchet MS"/>
        </w:rPr>
        <w:tab/>
        <w:t xml:space="preserve">If either party objects to the selection of the chair or other DRB members based on the disclosures, or based on information not disclosed, which might bring into question the impartiality, independence, or performance of the potential member, that potential member shall not be placed on the Board. </w:t>
      </w:r>
    </w:p>
    <w:p w14:paraId="00000036" w14:textId="77777777" w:rsidR="008A3DA9" w:rsidRDefault="00836EB9">
      <w:pPr>
        <w:numPr>
          <w:ilvl w:val="0"/>
          <w:numId w:val="23"/>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There shall be no ex parte communications with the DRB at any time.</w:t>
      </w:r>
    </w:p>
    <w:p w14:paraId="00000037" w14:textId="77777777" w:rsidR="008A3DA9" w:rsidRDefault="00836EB9">
      <w:pPr>
        <w:numPr>
          <w:ilvl w:val="0"/>
          <w:numId w:val="23"/>
        </w:numPr>
        <w:spacing w:after="120" w:line="246" w:lineRule="auto"/>
        <w:ind w:left="720"/>
        <w:rPr>
          <w:rFonts w:ascii="Trebuchet MS" w:eastAsia="Trebuchet MS" w:hAnsi="Trebuchet MS" w:cs="Trebuchet MS"/>
        </w:rPr>
      </w:pPr>
      <w:r>
        <w:rPr>
          <w:rFonts w:ascii="Trebuchet MS" w:eastAsia="Trebuchet MS" w:hAnsi="Trebuchet MS" w:cs="Trebuchet MS"/>
        </w:rPr>
        <w:t xml:space="preserve">The service of a Board member may be terminated only by written agreement of both parties.  </w:t>
      </w:r>
    </w:p>
    <w:p w14:paraId="00000038" w14:textId="77777777" w:rsidR="008A3DA9" w:rsidRDefault="00836EB9">
      <w:pPr>
        <w:numPr>
          <w:ilvl w:val="0"/>
          <w:numId w:val="19"/>
        </w:numPr>
        <w:spacing w:after="120" w:line="246" w:lineRule="auto"/>
        <w:ind w:left="0" w:firstLine="0"/>
        <w:rPr>
          <w:rFonts w:ascii="Trebuchet MS" w:eastAsia="Trebuchet MS" w:hAnsi="Trebuchet MS" w:cs="Trebuchet MS"/>
        </w:rPr>
      </w:pPr>
      <w:r>
        <w:rPr>
          <w:rFonts w:ascii="Trebuchet MS" w:eastAsia="Trebuchet MS" w:hAnsi="Trebuchet MS" w:cs="Trebuchet MS"/>
        </w:rPr>
        <w:t>If a Board member resigns, is unable to serve, or is terminated, a new Board member shall be selected within 30 days in the same manner as the Board member who was removed was originally selected.</w:t>
      </w:r>
    </w:p>
    <w:p w14:paraId="00000039" w14:textId="77777777" w:rsidR="008A3DA9" w:rsidRDefault="00836EB9">
      <w:pPr>
        <w:numPr>
          <w:ilvl w:val="0"/>
          <w:numId w:val="19"/>
        </w:numPr>
        <w:spacing w:after="120" w:line="246" w:lineRule="auto"/>
        <w:ind w:left="0" w:firstLine="0"/>
        <w:rPr>
          <w:rFonts w:ascii="Trebuchet MS" w:eastAsia="Trebuchet MS" w:hAnsi="Trebuchet MS" w:cs="Trebuchet MS"/>
          <w:i/>
        </w:rPr>
      </w:pPr>
      <w:r>
        <w:rPr>
          <w:rFonts w:ascii="Trebuchet MS" w:eastAsia="Trebuchet MS" w:hAnsi="Trebuchet MS" w:cs="Trebuchet MS"/>
          <w:i/>
        </w:rPr>
        <w:t>Additional Responsibilities of the Standing Disputes Review</w:t>
      </w:r>
      <w:r>
        <w:rPr>
          <w:rFonts w:ascii="Trebuchet MS" w:eastAsia="Trebuchet MS" w:hAnsi="Trebuchet MS" w:cs="Trebuchet MS"/>
        </w:rPr>
        <w:t xml:space="preserve"> </w:t>
      </w:r>
      <w:r>
        <w:rPr>
          <w:rFonts w:ascii="Trebuchet MS" w:eastAsia="Trebuchet MS" w:hAnsi="Trebuchet MS" w:cs="Trebuchet MS"/>
          <w:i/>
        </w:rPr>
        <w:t xml:space="preserve">Board </w:t>
      </w:r>
    </w:p>
    <w:p w14:paraId="0000003A" w14:textId="77777777" w:rsidR="008A3DA9" w:rsidRDefault="00836EB9" w:rsidP="00836EB9">
      <w:pPr>
        <w:numPr>
          <w:ilvl w:val="0"/>
          <w:numId w:val="1"/>
        </w:numPr>
        <w:tabs>
          <w:tab w:val="left" w:pos="990"/>
        </w:tabs>
        <w:spacing w:after="120" w:line="246" w:lineRule="auto"/>
        <w:ind w:left="720"/>
        <w:rPr>
          <w:rFonts w:ascii="Trebuchet MS" w:eastAsia="Trebuchet MS" w:hAnsi="Trebuchet MS" w:cs="Trebuchet MS"/>
        </w:rPr>
      </w:pPr>
      <w:r>
        <w:rPr>
          <w:rFonts w:ascii="Trebuchet MS" w:eastAsia="Trebuchet MS" w:hAnsi="Trebuchet MS" w:cs="Trebuchet MS"/>
        </w:rPr>
        <w:t>General. No later than 10 days after the Three-Party Agreement has been signed by the Chief Engineer, the DRB will coordinate with the parties on the date and location of the initial DRB meeting.</w:t>
      </w:r>
    </w:p>
    <w:p w14:paraId="0000003B" w14:textId="77777777" w:rsidR="008A3DA9" w:rsidRDefault="00836EB9" w:rsidP="00836EB9">
      <w:pPr>
        <w:numPr>
          <w:ilvl w:val="1"/>
          <w:numId w:val="1"/>
        </w:numPr>
        <w:spacing w:after="120" w:line="246" w:lineRule="auto"/>
        <w:ind w:left="1080" w:hanging="360"/>
        <w:rPr>
          <w:rFonts w:ascii="Trebuchet MS" w:eastAsia="Trebuchet MS" w:hAnsi="Trebuchet MS" w:cs="Trebuchet MS"/>
        </w:rPr>
      </w:pPr>
      <w:r>
        <w:rPr>
          <w:rFonts w:ascii="Trebuchet MS" w:eastAsia="Trebuchet MS" w:hAnsi="Trebuchet MS" w:cs="Trebuchet MS"/>
        </w:rPr>
        <w:t>Obtain copies of the Contract documents and the Contractor’s schedules for each of the Board members.</w:t>
      </w:r>
    </w:p>
    <w:p w14:paraId="0000003C" w14:textId="77777777" w:rsidR="008A3DA9" w:rsidRDefault="00836EB9" w:rsidP="00836EB9">
      <w:pPr>
        <w:numPr>
          <w:ilvl w:val="1"/>
          <w:numId w:val="1"/>
        </w:numPr>
        <w:tabs>
          <w:tab w:val="left" w:pos="1080"/>
        </w:tabs>
        <w:spacing w:after="40" w:line="246" w:lineRule="auto"/>
        <w:ind w:left="1080" w:hanging="360"/>
        <w:rPr>
          <w:rFonts w:ascii="Trebuchet MS" w:eastAsia="Trebuchet MS" w:hAnsi="Trebuchet MS" w:cs="Trebuchet MS"/>
        </w:rPr>
      </w:pPr>
      <w:r>
        <w:rPr>
          <w:rFonts w:ascii="Trebuchet MS" w:eastAsia="Trebuchet MS" w:hAnsi="Trebuchet MS" w:cs="Trebuchet MS"/>
        </w:rPr>
        <w:t>Agree on the location of future meetings, which shall be reasonably close to the project site.</w:t>
      </w:r>
    </w:p>
    <w:p w14:paraId="0000003D" w14:textId="77777777" w:rsidR="008A3DA9" w:rsidRDefault="00836EB9" w:rsidP="00836EB9">
      <w:pPr>
        <w:numPr>
          <w:ilvl w:val="1"/>
          <w:numId w:val="1"/>
        </w:numPr>
        <w:tabs>
          <w:tab w:val="left" w:pos="1080"/>
        </w:tabs>
        <w:spacing w:after="120" w:line="246" w:lineRule="auto"/>
        <w:ind w:left="1080" w:hanging="360"/>
        <w:rPr>
          <w:rFonts w:ascii="Trebuchet MS" w:eastAsia="Trebuchet MS" w:hAnsi="Trebuchet MS" w:cs="Trebuchet MS"/>
        </w:rPr>
      </w:pPr>
      <w:r>
        <w:rPr>
          <w:rFonts w:ascii="Trebuchet MS" w:eastAsia="Trebuchet MS" w:hAnsi="Trebuchet MS" w:cs="Trebuchet MS"/>
        </w:rPr>
        <w:t>Establish an address and telephone number for each Board member for the purposes of Board business.</w:t>
      </w:r>
    </w:p>
    <w:p w14:paraId="0000003E" w14:textId="77777777" w:rsidR="008A3DA9" w:rsidRDefault="00836EB9" w:rsidP="00836EB9">
      <w:pPr>
        <w:numPr>
          <w:ilvl w:val="0"/>
          <w:numId w:val="1"/>
        </w:numPr>
        <w:spacing w:after="120" w:line="246" w:lineRule="auto"/>
        <w:ind w:left="720"/>
        <w:rPr>
          <w:rFonts w:ascii="Trebuchet MS" w:eastAsia="Trebuchet MS" w:hAnsi="Trebuchet MS" w:cs="Trebuchet MS"/>
        </w:rPr>
      </w:pPr>
      <w:r>
        <w:rPr>
          <w:rFonts w:ascii="Trebuchet MS" w:eastAsia="Trebuchet MS" w:hAnsi="Trebuchet MS" w:cs="Trebuchet MS"/>
        </w:rPr>
        <w:t xml:space="preserve">Regular meetings. Regular meetings of the Board shall be held approximately every 120 to 180 days throughout the life of the Contract, except that this schedule may be modified to suit developments on the job as the work </w:t>
      </w:r>
      <w:r>
        <w:rPr>
          <w:rFonts w:ascii="Trebuchet MS" w:eastAsia="Trebuchet MS" w:hAnsi="Trebuchet MS" w:cs="Trebuchet MS"/>
        </w:rPr>
        <w:lastRenderedPageBreak/>
        <w:t>progresses. Regular meetings shall be attended by representatives of the Contractor and the Department.</w:t>
      </w:r>
    </w:p>
    <w:p w14:paraId="0000003F" w14:textId="77777777" w:rsidR="008A3DA9" w:rsidRDefault="00836EB9" w:rsidP="00836EB9">
      <w:pPr>
        <w:numPr>
          <w:ilvl w:val="0"/>
          <w:numId w:val="1"/>
        </w:numPr>
        <w:spacing w:after="120" w:line="246" w:lineRule="auto"/>
        <w:ind w:left="720"/>
        <w:rPr>
          <w:rFonts w:ascii="Trebuchet MS" w:eastAsia="Trebuchet MS" w:hAnsi="Trebuchet MS" w:cs="Trebuchet MS"/>
        </w:rPr>
      </w:pPr>
      <w:r>
        <w:rPr>
          <w:rFonts w:ascii="Trebuchet MS" w:eastAsia="Trebuchet MS" w:hAnsi="Trebuchet MS" w:cs="Trebuchet MS"/>
        </w:rPr>
        <w:t>The Board shall establish an agenda for each meeting, which will cover all items that the Board considers necessary to keep it abreast of the project, such as construction status, schedule, potential problems and solutions, status of past Claims and Disputes, and potential Claims and Disputes. Copies of each agenda shall be submitted to the Contractor and the Department at least seven days before the meeting date. Oral or written presentations or both shall be made by the Contractor and the Department as necessary to give the Board all the data the Board requires to perform its functions. The Board will prepare minutes of each meeting, circulate them to all participants for comments and approval, and issue revised minutes before the next meeting. As a part of each regular meeting, a field inspection trip of all active segments of the work at the project site may be made by the Board, the Contractor, and the Department.</w:t>
      </w:r>
    </w:p>
    <w:p w14:paraId="00000040" w14:textId="77777777" w:rsidR="008A3DA9" w:rsidRDefault="00836EB9" w:rsidP="00836EB9">
      <w:pPr>
        <w:widowControl/>
        <w:numPr>
          <w:ilvl w:val="0"/>
          <w:numId w:val="16"/>
        </w:numPr>
        <w:spacing w:line="246" w:lineRule="auto"/>
        <w:rPr>
          <w:rFonts w:ascii="Trebuchet MS" w:eastAsia="Trebuchet MS" w:hAnsi="Trebuchet MS" w:cs="Trebuchet MS"/>
        </w:rPr>
      </w:pPr>
      <w:r>
        <w:rPr>
          <w:rFonts w:ascii="Trebuchet MS" w:eastAsia="Trebuchet MS" w:hAnsi="Trebuchet MS" w:cs="Trebuchet MS"/>
        </w:rPr>
        <w:t xml:space="preserve">Advisory Opinions </w:t>
      </w:r>
    </w:p>
    <w:p w14:paraId="00000041" w14:textId="77777777" w:rsidR="008A3DA9" w:rsidRDefault="008A3DA9">
      <w:pPr>
        <w:widowControl/>
        <w:spacing w:line="246" w:lineRule="auto"/>
        <w:rPr>
          <w:rFonts w:ascii="Trebuchet MS" w:eastAsia="Trebuchet MS" w:hAnsi="Trebuchet MS" w:cs="Trebuchet MS"/>
          <w:sz w:val="16"/>
          <w:szCs w:val="16"/>
        </w:rPr>
      </w:pPr>
    </w:p>
    <w:p w14:paraId="00000042" w14:textId="58DD0F2F" w:rsidR="008A3DA9" w:rsidRDefault="00836EB9" w:rsidP="00836EB9">
      <w:pPr>
        <w:widowControl/>
        <w:numPr>
          <w:ilvl w:val="0"/>
          <w:numId w:val="18"/>
        </w:numPr>
        <w:spacing w:line="246" w:lineRule="auto"/>
        <w:rPr>
          <w:rFonts w:ascii="Trebuchet MS" w:eastAsia="Trebuchet MS" w:hAnsi="Trebuchet MS" w:cs="Trebuchet MS"/>
        </w:rPr>
      </w:pPr>
      <w:r>
        <w:rPr>
          <w:rFonts w:ascii="Trebuchet MS" w:eastAsia="Trebuchet MS" w:hAnsi="Trebuchet MS" w:cs="Trebuchet MS"/>
        </w:rPr>
        <w:t xml:space="preserve">Advisory opinions are typically used soon after the parties find they have a potential Dispute and have conducted preliminary negotiations, but before expenditure of additional resources and hardening their positions.  Advisory opinions provide quick insight into the DRB’s likely assessment of the Dispute. This process is quick and may be entirely </w:t>
      </w:r>
      <w:r w:rsidR="00F13491">
        <w:rPr>
          <w:rFonts w:ascii="Trebuchet MS" w:eastAsia="Trebuchet MS" w:hAnsi="Trebuchet MS" w:cs="Trebuchet MS"/>
        </w:rPr>
        <w:t>oral and</w:t>
      </w:r>
      <w:r>
        <w:rPr>
          <w:rFonts w:ascii="Trebuchet MS" w:eastAsia="Trebuchet MS" w:hAnsi="Trebuchet MS" w:cs="Trebuchet MS"/>
        </w:rPr>
        <w:t xml:space="preserve"> does not prejudice the opportunity for a DRB hearing.</w:t>
      </w:r>
    </w:p>
    <w:p w14:paraId="00000043"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 xml:space="preserve">Both parties must agree to seek an advisory opinion and notify the chairperson. The procedure for requesting and issuing advisory opinions should be discussed with the DRB at the first meeting with the parties.  </w:t>
      </w:r>
    </w:p>
    <w:p w14:paraId="00000044"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 xml:space="preserve">The DRB shall issue a one-page written opinion within 5 days of the hearing. </w:t>
      </w:r>
    </w:p>
    <w:p w14:paraId="00000045"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The opinion is only advisory and does not require acceptance or rejection by either party. If the Dispute is not resolved and a hearing is held, the oral presentations and advisory opinion are completely disregarded, and the DRB hearing procedure is followed.</w:t>
      </w:r>
    </w:p>
    <w:p w14:paraId="00000046" w14:textId="77777777" w:rsidR="008A3DA9" w:rsidRDefault="00836EB9" w:rsidP="00836EB9">
      <w:pPr>
        <w:numPr>
          <w:ilvl w:val="0"/>
          <w:numId w:val="18"/>
        </w:numPr>
        <w:tabs>
          <w:tab w:val="left" w:pos="1080"/>
        </w:tabs>
        <w:spacing w:after="80" w:line="246" w:lineRule="auto"/>
        <w:rPr>
          <w:rFonts w:ascii="Trebuchet MS" w:eastAsia="Trebuchet MS" w:hAnsi="Trebuchet MS" w:cs="Trebuchet MS"/>
        </w:rPr>
      </w:pPr>
      <w:r>
        <w:rPr>
          <w:rFonts w:ascii="Trebuchet MS" w:eastAsia="Trebuchet MS" w:hAnsi="Trebuchet MS" w:cs="Trebuchet MS"/>
        </w:rPr>
        <w:t>Advisory opinions should be limited to Merit Issues only.</w:t>
      </w:r>
    </w:p>
    <w:p w14:paraId="00000047" w14:textId="77777777" w:rsidR="008A3DA9" w:rsidRDefault="00836EB9">
      <w:pPr>
        <w:numPr>
          <w:ilvl w:val="0"/>
          <w:numId w:val="19"/>
        </w:numPr>
        <w:spacing w:after="120" w:line="246" w:lineRule="auto"/>
        <w:ind w:left="360"/>
        <w:rPr>
          <w:rFonts w:ascii="Trebuchet MS" w:eastAsia="Trebuchet MS" w:hAnsi="Trebuchet MS" w:cs="Trebuchet MS"/>
        </w:rPr>
      </w:pPr>
      <w:r>
        <w:rPr>
          <w:rFonts w:ascii="Trebuchet MS" w:eastAsia="Trebuchet MS" w:hAnsi="Trebuchet MS" w:cs="Trebuchet MS"/>
          <w:i/>
        </w:rPr>
        <w:t>Arranging a Dispute Review Board Hearing</w:t>
      </w:r>
      <w:r>
        <w:rPr>
          <w:rFonts w:ascii="Trebuchet MS" w:eastAsia="Trebuchet MS" w:hAnsi="Trebuchet MS" w:cs="Trebuchet MS"/>
        </w:rPr>
        <w:t>.  When the Project Engineer initiates the DRB review process, the Project Engineer will:</w:t>
      </w:r>
    </w:p>
    <w:p w14:paraId="00000048" w14:textId="0BD066EB" w:rsidR="008A3DA9" w:rsidRDefault="00836EB9">
      <w:pPr>
        <w:widowControl/>
        <w:numPr>
          <w:ilvl w:val="0"/>
          <w:numId w:val="9"/>
        </w:numPr>
        <w:tabs>
          <w:tab w:val="left" w:pos="900"/>
        </w:tabs>
        <w:spacing w:after="120"/>
        <w:rPr>
          <w:rFonts w:ascii="Trebuchet MS" w:eastAsia="Trebuchet MS" w:hAnsi="Trebuchet MS" w:cs="Trebuchet MS"/>
        </w:rPr>
      </w:pPr>
      <w:r>
        <w:rPr>
          <w:rFonts w:ascii="Trebuchet MS" w:eastAsia="Trebuchet MS" w:hAnsi="Trebuchet MS" w:cs="Trebuchet MS"/>
        </w:rPr>
        <w:t xml:space="preserve">Contact the Contractor and the DRB to coordinate an acceptable hearing date and time.  The hearing shall be held at the Resident Engineer’s office unless an alternative location is agreed to by both parties. Unless otherwise agreed to by both parties, an On Demand DRB hearing will be held within 30 days after the Three-Party Agreement is signed by the CDOT Chief Engineer.  Unless otherwise </w:t>
      </w:r>
      <w:r>
        <w:rPr>
          <w:rFonts w:ascii="Trebuchet MS" w:eastAsia="Trebuchet MS" w:hAnsi="Trebuchet MS" w:cs="Trebuchet MS"/>
        </w:rPr>
        <w:lastRenderedPageBreak/>
        <w:t>agreed to by both parties, a Standing DRB hearing will be held within 30 days after the DRB has been requested per subsection 105.23(a).</w:t>
      </w:r>
    </w:p>
    <w:p w14:paraId="00000049" w14:textId="77777777" w:rsidR="008A3DA9" w:rsidRDefault="00836EB9">
      <w:pPr>
        <w:widowControl/>
        <w:numPr>
          <w:ilvl w:val="0"/>
          <w:numId w:val="9"/>
        </w:numPr>
        <w:tabs>
          <w:tab w:val="left" w:pos="900"/>
        </w:tabs>
        <w:spacing w:after="120"/>
        <w:rPr>
          <w:rFonts w:ascii="Trebuchet MS" w:eastAsia="Trebuchet MS" w:hAnsi="Trebuchet MS" w:cs="Trebuchet MS"/>
        </w:rPr>
      </w:pPr>
      <w:r>
        <w:rPr>
          <w:rFonts w:ascii="Trebuchet MS" w:eastAsia="Trebuchet MS" w:hAnsi="Trebuchet MS" w:cs="Trebuchet MS"/>
        </w:rPr>
        <w:t xml:space="preserve">Ensure DRB members have copies of all documents previously prepared by the Contractor and CDOT pertaining to the </w:t>
      </w:r>
      <w:r>
        <w:rPr>
          <w:rFonts w:ascii="Trebuchet MS" w:eastAsia="Trebuchet MS" w:hAnsi="Trebuchet MS" w:cs="Trebuchet MS"/>
          <w:color w:val="231F20"/>
        </w:rPr>
        <w:t>Dispute</w:t>
      </w:r>
      <w:r>
        <w:rPr>
          <w:rFonts w:ascii="Trebuchet MS" w:eastAsia="Trebuchet MS" w:hAnsi="Trebuchet MS" w:cs="Trebuchet MS"/>
        </w:rPr>
        <w:t>, the DRB request, the Contract documents, and the special provisions at least two weeks before the hearing.</w:t>
      </w:r>
    </w:p>
    <w:p w14:paraId="0000004A" w14:textId="2FC3A1E8" w:rsidR="008A3DA9" w:rsidRDefault="00836EB9">
      <w:pPr>
        <w:widowControl/>
        <w:numPr>
          <w:ilvl w:val="0"/>
          <w:numId w:val="12"/>
        </w:numPr>
        <w:tabs>
          <w:tab w:val="left" w:pos="1170"/>
        </w:tabs>
        <w:spacing w:after="120" w:line="246" w:lineRule="auto"/>
        <w:ind w:left="360"/>
        <w:rPr>
          <w:rFonts w:ascii="Trebuchet MS" w:eastAsia="Trebuchet MS" w:hAnsi="Trebuchet MS" w:cs="Trebuchet MS"/>
        </w:rPr>
      </w:pPr>
      <w:r>
        <w:rPr>
          <w:rFonts w:ascii="Trebuchet MS" w:eastAsia="Trebuchet MS" w:hAnsi="Trebuchet MS" w:cs="Trebuchet MS"/>
          <w:i/>
        </w:rPr>
        <w:t>Pre-Hearing Submittal</w:t>
      </w:r>
      <w:r>
        <w:rPr>
          <w:rFonts w:ascii="Trebuchet MS" w:eastAsia="Trebuchet MS" w:hAnsi="Trebuchet MS" w:cs="Trebuchet MS"/>
        </w:rPr>
        <w:t>.  All Pre-hearing Submittals shall include only arguments, supporting documentation, Quantum, and other information as previously submitted in writing and as previously disputed in the formal Dispute process covered in subsections 105.22(b), (c), (d), and (e). All Pre-hearing Submittals planned to be used at the hearing shall be submitted to the other party 35 days before the hearing for review for compliance with this requirement.  If either party contends there are new arguments, supporting documents, new Quantum, or any new information in a pre-hearing Submittal, and the other party objects to this information being presented to the DRB, the objecting party shall submit its objections in writing to the other party within 10 days. The parties shall meet within five days to reconcile the objection before the submittal is submitted to the DRB. If the parties cannot reconcile the objection, but the new argument, supporting documentation, new Quantum, or new information does not change either party’s position on Merit or Quantum, the information shall be allowed in the Pre-hearing submittal and presented to the DRB. If the parties cannot reconcile the objections within the five days allowed, each party shall submit a one-page brief on their objections, but not the actual information objected to, to the DRB for a decision on the use of the documents. The DRB shall not approve any information simply because it is relevant to the Dispute or referenced during the Dispute. Neither party shall attempt to present anything to the DRB that they did not present to the other party during the Dispute process. The Dispute process shall be delayed while this determination is being made and a new hearing date set, if necessary. Pre-hearing Submittals to the DRB are as follows:</w:t>
      </w:r>
    </w:p>
    <w:p w14:paraId="0000004B" w14:textId="7F26FC8C" w:rsidR="008A3DA9" w:rsidRDefault="00836EB9">
      <w:pPr>
        <w:widowControl/>
        <w:spacing w:line="246" w:lineRule="auto"/>
        <w:ind w:left="720" w:hanging="360"/>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rPr>
        <w:tab/>
        <w:t>Joint Statement: At least 20 days before the hearing, the Joint Statement(s) shall be submitted to the DRB. The parties shall make every attempt to agree upon a Joint Statement of the Dispute. If the parties cannot agree on the Joint Statement, each party’s independent statement shall be submitted to the DRB.  The Joint Statement shall summarize, in a few sentences, the nature of the Dispute(s) and the scope of the desired decision.</w:t>
      </w:r>
    </w:p>
    <w:p w14:paraId="0000004C" w14:textId="77777777" w:rsidR="008A3DA9" w:rsidRDefault="008A3DA9">
      <w:pPr>
        <w:widowControl/>
        <w:spacing w:line="246" w:lineRule="auto"/>
        <w:ind w:left="720" w:hanging="360"/>
        <w:rPr>
          <w:rFonts w:ascii="Trebuchet MS" w:eastAsia="Trebuchet MS" w:hAnsi="Trebuchet MS" w:cs="Trebuchet MS"/>
        </w:rPr>
      </w:pPr>
    </w:p>
    <w:p w14:paraId="0000004D" w14:textId="2176F7FA" w:rsidR="008A3DA9" w:rsidRDefault="00836EB9">
      <w:pPr>
        <w:widowControl/>
        <w:numPr>
          <w:ilvl w:val="0"/>
          <w:numId w:val="22"/>
        </w:numPr>
        <w:tabs>
          <w:tab w:val="left" w:pos="900"/>
        </w:tabs>
        <w:spacing w:after="120" w:line="246" w:lineRule="auto"/>
        <w:rPr>
          <w:rFonts w:ascii="Trebuchet MS" w:eastAsia="Trebuchet MS" w:hAnsi="Trebuchet MS" w:cs="Trebuchet MS"/>
        </w:rPr>
      </w:pPr>
      <w:r>
        <w:rPr>
          <w:rFonts w:ascii="Trebuchet MS" w:eastAsia="Trebuchet MS" w:hAnsi="Trebuchet MS" w:cs="Trebuchet MS"/>
        </w:rPr>
        <w:t xml:space="preserve">Position Paper:  At least 15 days before the hearing, CDOT and the Contractor shall submit by email to the DRB Chairperson their party’s Position Paper. The DRB Chairperson shall simultaneously distribute by email the Position Papers to </w:t>
      </w:r>
      <w:r>
        <w:rPr>
          <w:rFonts w:ascii="Trebuchet MS" w:eastAsia="Trebuchet MS" w:hAnsi="Trebuchet MS" w:cs="Trebuchet MS"/>
        </w:rPr>
        <w:lastRenderedPageBreak/>
        <w:t>all parties and other DRB members, if any. The Position Paper shall contain the following:</w:t>
      </w:r>
    </w:p>
    <w:p w14:paraId="0000004E" w14:textId="7777777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The basis and justification for the party’s position, with reference to specific contract language and the supporting documents of each element of the Disputes.</w:t>
      </w:r>
    </w:p>
    <w:p w14:paraId="0000004F" w14:textId="6C13E83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A list of proposed attendees for the hearing. In the event of any objection by a party, the DRB shall make a final determination as to who attends the hearing.</w:t>
      </w:r>
    </w:p>
    <w:p w14:paraId="00000050" w14:textId="7777777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When the scope of the hearing includes Quantum, full cost details will be calculated per the methods set forth in subsection 105.24(b)12.  The Scope of the hearing will not include Quantum if CDOT has requested an audit that has not been completed.</w:t>
      </w:r>
    </w:p>
    <w:p w14:paraId="00000051" w14:textId="0BFB2DDE" w:rsidR="008A3DA9" w:rsidRDefault="00836EB9" w:rsidP="00836EB9">
      <w:pPr>
        <w:widowControl/>
        <w:numPr>
          <w:ilvl w:val="0"/>
          <w:numId w:val="22"/>
        </w:numPr>
        <w:spacing w:after="120" w:line="247" w:lineRule="auto"/>
        <w:rPr>
          <w:rFonts w:ascii="Trebuchet MS" w:eastAsia="Trebuchet MS" w:hAnsi="Trebuchet MS" w:cs="Trebuchet MS"/>
        </w:rPr>
      </w:pPr>
      <w:r>
        <w:rPr>
          <w:rFonts w:ascii="Trebuchet MS" w:eastAsia="Trebuchet MS" w:hAnsi="Trebuchet MS" w:cs="Trebuchet MS"/>
        </w:rPr>
        <w:t>Supporting Documents: At least 15 days before the hearing, each party shall submit a copy of all its supporting documents to the DRB and the other party.  Supporting documents include any presentations, visuals, or handouts planned to be used at the hearing. To minimize duplication and repetitiveness, the parties are encouraged to identify a common set of documents that will be referred to by both parties and submit them in a separate package to the DRB at least 20 days before the hearing. Common documents are communications between parties, speed memos, change orders, schedules, request for equitable adjustment, correspondence, and any document used in the subsection 105.22 process. CDOT shall submit the common set of documents to the Board and the Contractor.</w:t>
      </w:r>
    </w:p>
    <w:p w14:paraId="00000052" w14:textId="77777777" w:rsidR="008A3DA9" w:rsidRDefault="00836EB9" w:rsidP="00836EB9">
      <w:pPr>
        <w:widowControl/>
        <w:numPr>
          <w:ilvl w:val="0"/>
          <w:numId w:val="22"/>
        </w:numPr>
        <w:tabs>
          <w:tab w:val="left" w:pos="630"/>
        </w:tabs>
        <w:spacing w:after="120" w:line="246" w:lineRule="auto"/>
        <w:rPr>
          <w:rFonts w:ascii="Trebuchet MS" w:eastAsia="Trebuchet MS" w:hAnsi="Trebuchet MS" w:cs="Trebuchet MS"/>
        </w:rPr>
      </w:pPr>
      <w:r>
        <w:rPr>
          <w:rFonts w:ascii="Trebuchet MS" w:eastAsia="Trebuchet MS" w:hAnsi="Trebuchet MS" w:cs="Trebuchet MS"/>
        </w:rPr>
        <w:t>If relevant to the Dispute and requested by the Board, the Engineer shall provide to the DRB either website links, electronic PDFs, or hard copies of pertinent contract documents such as plans, specifications, and M and S Standards.</w:t>
      </w:r>
    </w:p>
    <w:p w14:paraId="00000053" w14:textId="3E1B4F07" w:rsidR="008A3DA9" w:rsidRDefault="00836EB9" w:rsidP="00836EB9">
      <w:pPr>
        <w:widowControl/>
        <w:numPr>
          <w:ilvl w:val="0"/>
          <w:numId w:val="12"/>
        </w:numPr>
        <w:spacing w:after="120" w:line="246" w:lineRule="auto"/>
        <w:ind w:left="360"/>
        <w:rPr>
          <w:rFonts w:ascii="Trebuchet MS" w:eastAsia="Trebuchet MS" w:hAnsi="Trebuchet MS" w:cs="Trebuchet MS"/>
          <w:i/>
        </w:rPr>
      </w:pPr>
      <w:r>
        <w:rPr>
          <w:rFonts w:ascii="Trebuchet MS" w:eastAsia="Trebuchet MS" w:hAnsi="Trebuchet MS" w:cs="Trebuchet MS"/>
          <w:i/>
        </w:rPr>
        <w:t xml:space="preserve">Pre-Hearing Phone Conference.  </w:t>
      </w:r>
      <w:r>
        <w:rPr>
          <w:rFonts w:ascii="Trebuchet MS" w:eastAsia="Trebuchet MS" w:hAnsi="Trebuchet MS" w:cs="Trebuchet MS"/>
        </w:rPr>
        <w:t>A pre-hearing phone conference with all Board members and the parties shall be conducted as soon as a hearing date is established, but no later than 10 days before the hearing. The DRB Chairperson shall explain the specifics of how the hearing will be conducted, including how the two parties will present their information. (Ex. Each party makes a full presentation of their positions, or presentations will be made on a “point by point” basis, with each party making a presentation only on the individual dispute issue before moving onto the next Issue.)</w:t>
      </w:r>
    </w:p>
    <w:p w14:paraId="00000054" w14:textId="5B584A0F" w:rsidR="008A3DA9" w:rsidRDefault="00836EB9" w:rsidP="00836EB9">
      <w:pPr>
        <w:tabs>
          <w:tab w:val="left" w:pos="900"/>
        </w:tabs>
        <w:spacing w:after="120" w:line="246" w:lineRule="auto"/>
        <w:ind w:left="360"/>
        <w:rPr>
          <w:rFonts w:ascii="Trebuchet MS" w:eastAsia="Trebuchet MS" w:hAnsi="Trebuchet MS" w:cs="Trebuchet MS"/>
        </w:rPr>
      </w:pPr>
      <w:r>
        <w:rPr>
          <w:rFonts w:ascii="Trebuchet MS" w:eastAsia="Trebuchet MS" w:hAnsi="Trebuchet MS" w:cs="Trebuchet MS"/>
        </w:rPr>
        <w:t xml:space="preserve">If the pre-hearing position papers and documents have been received by the DRB before the conference call, the Chairperson shall discuss the estimated hours of review and activities for the Disputes (such as time spent evaluating and preparing </w:t>
      </w:r>
      <w:r>
        <w:rPr>
          <w:rFonts w:ascii="Trebuchet MS" w:eastAsia="Trebuchet MS" w:hAnsi="Trebuchet MS" w:cs="Trebuchet MS"/>
        </w:rPr>
        <w:lastRenderedPageBreak/>
        <w:t>a recommendation on specific Issues presented to the DRB). If the pre-hearing position papers and documents have not been received by the Board before the conference call, another conference call will be scheduled during the initial conference call to discuss the estimated hours of review. The Engineer shall coordinate the conference call.</w:t>
      </w:r>
    </w:p>
    <w:p w14:paraId="00000055" w14:textId="651E0B8C" w:rsidR="008A3DA9" w:rsidRDefault="00836EB9" w:rsidP="00836EB9">
      <w:pPr>
        <w:numPr>
          <w:ilvl w:val="0"/>
          <w:numId w:val="12"/>
        </w:numPr>
        <w:spacing w:after="120" w:line="246" w:lineRule="auto"/>
        <w:ind w:left="360"/>
        <w:rPr>
          <w:rFonts w:ascii="Trebuchet MS" w:eastAsia="Trebuchet MS" w:hAnsi="Trebuchet MS" w:cs="Trebuchet MS"/>
        </w:rPr>
      </w:pPr>
      <w:r>
        <w:rPr>
          <w:rFonts w:ascii="Trebuchet MS" w:eastAsia="Trebuchet MS" w:hAnsi="Trebuchet MS" w:cs="Trebuchet MS"/>
          <w:i/>
        </w:rPr>
        <w:t>Dispute Review Board Hearing.</w:t>
      </w:r>
      <w:r>
        <w:rPr>
          <w:rFonts w:ascii="Trebuchet MS" w:eastAsia="Trebuchet MS" w:hAnsi="Trebuchet MS" w:cs="Trebuchet MS"/>
        </w:rPr>
        <w:t xml:space="preserve">  The DRB shall preside over a hearing. The chairperson shall control the hearing and conduct it as follows:</w:t>
      </w:r>
    </w:p>
    <w:p w14:paraId="00000056"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An employee of CDOT presents a brief description of the project and the status of construction on the project.</w:t>
      </w:r>
    </w:p>
    <w:p w14:paraId="00000057" w14:textId="44CA3E40"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The party that requested the DRB presents the Dispute in detail as supported by previously submitted information and documentation in the pre-hearing position paper. No new information or Disputes will be heard or addressed by the DRB. Rebuttals of the other party’s arguments shall not be presented at this time.  </w:t>
      </w:r>
    </w:p>
    <w:p w14:paraId="00000058"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The other party presents its position in detail as supported by previously submitted information and documentation.</w:t>
      </w:r>
    </w:p>
    <w:p w14:paraId="00000059"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The party that requested the DRB presents their rebuttals, followed by the other party’s rebuttals.</w:t>
      </w:r>
    </w:p>
    <w:p w14:paraId="0000005A" w14:textId="5A7FCB2F"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Upon completion of their presentations and rebuttals, both parties and the DRB will be provided the opportunity to exchange questions and answers. Questions from the parties shall be directed to the Chairperson. Attendees may respond only when board members request a response.</w:t>
      </w:r>
    </w:p>
    <w:p w14:paraId="0000005B"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Employees of each party are responsible for leading presentations at the DRB hearing.</w:t>
      </w:r>
    </w:p>
    <w:p w14:paraId="0000005C" w14:textId="41F593FD"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Attorneys shall not participate in the hearing unless the DRB specifically addresses an Issue to them or unless agreed to by both parties. Should the parties disagree on attorney participation, the DRB shall decide on what, if any, participation will be permitted. Attorneys representing the parties are permitted to attend the hearing, provided their presence has been noted in the pre-hearing submittal. </w:t>
      </w:r>
    </w:p>
    <w:p w14:paraId="0000005D" w14:textId="053B34F1"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Either party may use experts only if the expert has previously presented to the other party before the DRB process. A party intending to offer an outside expert's analysis at the hearing shall disclose such intention in the pre-hearing position paper. The expert's name and a general statement of the area of the Dispute that will be covered by his presentation shall be included in the disclosure. The other party may present an outside expert to address or respond to those Issues that may be raised by the disclosing party's outside expert.  </w:t>
      </w:r>
    </w:p>
    <w:p w14:paraId="0000005E" w14:textId="5A811EC1"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 xml:space="preserve">If both parties approve, the DRB may retain an outside expert. The DRB chairperson shall include the cost of the outside expert in the DRB's regular invoice. CDOT and the Contractor shall equally bear the cost of the services of the outside expert employed by the DRB. </w:t>
      </w:r>
    </w:p>
    <w:p w14:paraId="0000005F"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 xml:space="preserve">If either party attempts to present an argument, documentation, Quantum, or new information that the other party feels was not in the Pre-hearing submittals, the chairperson shall require the party to demonstrate where in the Pre-hearing submittals the information in question resides.  </w:t>
      </w:r>
    </w:p>
    <w:p w14:paraId="00000060" w14:textId="01F7670D"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If either party fails to timely deliver a position paper, the DRB may reschedule the hearing one time. On the final date and time established for the hearing, the DRB shall proceed with the hearing using the information that has been submitted.</w:t>
      </w:r>
    </w:p>
    <w:p w14:paraId="00000061"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If a party fails to appear at the hearing, the DRB shall proceed as if all parties were in attendance.</w:t>
      </w:r>
    </w:p>
    <w:p w14:paraId="00000062" w14:textId="77777777" w:rsidR="008A3DA9" w:rsidRDefault="00836EB9">
      <w:pPr>
        <w:numPr>
          <w:ilvl w:val="0"/>
          <w:numId w:val="12"/>
        </w:numPr>
        <w:tabs>
          <w:tab w:val="left" w:pos="90"/>
        </w:tabs>
        <w:spacing w:after="120" w:line="246" w:lineRule="auto"/>
        <w:ind w:left="360"/>
        <w:rPr>
          <w:rFonts w:ascii="Trebuchet MS" w:eastAsia="Trebuchet MS" w:hAnsi="Trebuchet MS" w:cs="Trebuchet MS"/>
        </w:rPr>
      </w:pPr>
      <w:r>
        <w:rPr>
          <w:rFonts w:ascii="Trebuchet MS" w:eastAsia="Trebuchet MS" w:hAnsi="Trebuchet MS" w:cs="Trebuchet MS"/>
          <w:i/>
        </w:rPr>
        <w:t>Dispute Review Board Recommendation</w:t>
      </w:r>
      <w:r>
        <w:rPr>
          <w:rFonts w:ascii="Trebuchet MS" w:eastAsia="Trebuchet MS" w:hAnsi="Trebuchet MS" w:cs="Trebuchet MS"/>
        </w:rPr>
        <w:t>.  The DRB shall issue a Recommendation per the following procedures:</w:t>
      </w:r>
    </w:p>
    <w:p w14:paraId="00000063" w14:textId="0B390537" w:rsidR="008A3DA9" w:rsidRDefault="00836EB9">
      <w:pPr>
        <w:numPr>
          <w:ilvl w:val="0"/>
          <w:numId w:val="17"/>
        </w:numPr>
        <w:tabs>
          <w:tab w:val="left" w:pos="1170"/>
        </w:tabs>
        <w:spacing w:after="120" w:line="246" w:lineRule="auto"/>
        <w:rPr>
          <w:rFonts w:ascii="Trebuchet MS" w:eastAsia="Trebuchet MS" w:hAnsi="Trebuchet MS" w:cs="Trebuchet MS"/>
        </w:rPr>
      </w:pPr>
      <w:r>
        <w:rPr>
          <w:rFonts w:ascii="Trebuchet MS" w:eastAsia="Trebuchet MS" w:hAnsi="Trebuchet MS" w:cs="Trebuchet MS"/>
        </w:rPr>
        <w:t xml:space="preserve">The DRB shall not make a recommendation on the Dispute at the meeting. Before the closure of the hearing, the DRB members and the Contractor and CDOT together will discuss the time needed for analysis and review of the Dispute and the issuance of the DRB’s recommendation. The maximum time shall be 30 days unless otherwise agreed to by both parties. </w:t>
      </w:r>
    </w:p>
    <w:p w14:paraId="00000064" w14:textId="77777777" w:rsidR="008A3DA9" w:rsidRDefault="00836EB9">
      <w:pPr>
        <w:numPr>
          <w:ilvl w:val="0"/>
          <w:numId w:val="17"/>
        </w:numPr>
        <w:spacing w:after="120" w:line="246" w:lineRule="auto"/>
        <w:ind w:left="810"/>
        <w:rPr>
          <w:rFonts w:ascii="Trebuchet MS" w:eastAsia="Trebuchet MS" w:hAnsi="Trebuchet MS" w:cs="Trebuchet MS"/>
        </w:rPr>
      </w:pPr>
      <w:r>
        <w:rPr>
          <w:rFonts w:ascii="Trebuchet MS" w:eastAsia="Trebuchet MS" w:hAnsi="Trebuchet MS" w:cs="Trebuchet MS"/>
        </w:rPr>
        <w:t>After the meeting has been closed, the DRB shall prepare a written Recommendation signed by each member of the DRB. In the case of a three-member DRB where one member dissents, that member shall prepare a written dissent and sign it. The DRB‘s recommendation shall include the following:</w:t>
      </w:r>
    </w:p>
    <w:p w14:paraId="00000065"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A summary of the Issues and factual evidence presented by the Contractor and CDOT concerning the Dispute.</w:t>
      </w:r>
    </w:p>
    <w:p w14:paraId="00000066"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Recommendations concerning the validity of the Dispute.</w:t>
      </w:r>
    </w:p>
    <w:p w14:paraId="00000067"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Recommendations concerning the value of the Dispute as to cost impacts if the Dispute is determined to be valid.</w:t>
      </w:r>
    </w:p>
    <w:p w14:paraId="00000068"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The contractual and factual bases supporting the recommendation(s) made, including an explanation as to why each and every position was accepted or rejected.</w:t>
      </w:r>
    </w:p>
    <w:p w14:paraId="00000069"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Detailed and supportable calculations that support any recommendation(s).</w:t>
      </w:r>
    </w:p>
    <w:p w14:paraId="0000006A" w14:textId="77777777" w:rsidR="008A3DA9" w:rsidRDefault="00836EB9" w:rsidP="00836EB9">
      <w:pPr>
        <w:numPr>
          <w:ilvl w:val="0"/>
          <w:numId w:val="17"/>
        </w:numPr>
        <w:tabs>
          <w:tab w:val="left" w:pos="540"/>
        </w:tabs>
        <w:spacing w:after="120" w:line="246" w:lineRule="auto"/>
        <w:rPr>
          <w:rFonts w:ascii="Trebuchet MS" w:eastAsia="Trebuchet MS" w:hAnsi="Trebuchet MS" w:cs="Trebuchet MS"/>
        </w:rPr>
      </w:pPr>
      <w:r>
        <w:rPr>
          <w:rFonts w:ascii="Trebuchet MS" w:eastAsia="Trebuchet MS" w:hAnsi="Trebuchet MS" w:cs="Trebuchet MS"/>
        </w:rPr>
        <w:lastRenderedPageBreak/>
        <w:t>The chairperson shall transmit the signed Recommendation and any supporting documents to both parties.</w:t>
      </w:r>
    </w:p>
    <w:p w14:paraId="0000006B" w14:textId="2883657A" w:rsidR="008A3DA9" w:rsidRDefault="00836EB9">
      <w:pPr>
        <w:numPr>
          <w:ilvl w:val="0"/>
          <w:numId w:val="12"/>
        </w:numPr>
        <w:tabs>
          <w:tab w:val="left" w:pos="540"/>
        </w:tabs>
        <w:spacing w:after="120"/>
        <w:ind w:left="360"/>
        <w:rPr>
          <w:rFonts w:ascii="Trebuchet MS" w:eastAsia="Trebuchet MS" w:hAnsi="Trebuchet MS" w:cs="Trebuchet MS"/>
        </w:rPr>
      </w:pPr>
      <w:r>
        <w:rPr>
          <w:rFonts w:ascii="Trebuchet MS" w:eastAsia="Trebuchet MS" w:hAnsi="Trebuchet MS" w:cs="Trebuchet MS"/>
          <w:i/>
        </w:rPr>
        <w:t>Clarification and Reconsideration of Recommendation.</w:t>
      </w:r>
      <w:r>
        <w:rPr>
          <w:rFonts w:ascii="Trebuchet MS" w:eastAsia="Trebuchet MS" w:hAnsi="Trebuchet MS" w:cs="Trebuchet MS"/>
        </w:rPr>
        <w:t xml:space="preserve"> </w:t>
      </w:r>
      <w:r w:rsidR="001F4399">
        <w:rPr>
          <w:rFonts w:ascii="Trebuchet MS" w:eastAsia="Trebuchet MS" w:hAnsi="Trebuchet MS" w:cs="Trebuchet MS"/>
        </w:rPr>
        <w:t xml:space="preserve"> </w:t>
      </w:r>
      <w:r>
        <w:rPr>
          <w:rFonts w:ascii="Trebuchet MS" w:eastAsia="Trebuchet MS" w:hAnsi="Trebuchet MS" w:cs="Trebuchet MS"/>
        </w:rPr>
        <w:t xml:space="preserve">Either party may request in writing clarification or reconsideration of a decision within 10 days following receipt of the Recommendation. Within 10 days after receiving the request, the DRB shall provide written clarification or reconsideration to both parties. </w:t>
      </w:r>
    </w:p>
    <w:p w14:paraId="0000006C" w14:textId="77777777" w:rsidR="008A3DA9" w:rsidRDefault="00836EB9">
      <w:pPr>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 xml:space="preserve">Requests for clarification or reconsideration shall be submitted in writing simultaneously to the DRB and the other party. </w:t>
      </w:r>
    </w:p>
    <w:p w14:paraId="0000006D" w14:textId="3F75F5A6" w:rsidR="008A3DA9" w:rsidRDefault="00836EB9">
      <w:pPr>
        <w:widowControl/>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The Board shall not accept requests for reconsideration that amount to a renewal of a prior argument or additional argument based on facts available at the time of the hearing. The Board shall not consider any documents or</w:t>
      </w:r>
      <w:r w:rsidR="001F4399">
        <w:rPr>
          <w:rFonts w:ascii="Trebuchet MS" w:eastAsia="Trebuchet MS" w:hAnsi="Trebuchet MS" w:cs="Trebuchet MS"/>
        </w:rPr>
        <w:t xml:space="preserve"> </w:t>
      </w:r>
      <w:r>
        <w:rPr>
          <w:rFonts w:ascii="Trebuchet MS" w:eastAsia="Trebuchet MS" w:hAnsi="Trebuchet MS" w:cs="Trebuchet MS"/>
        </w:rPr>
        <w:t>arguments that have not been made a part of the pre-hearing submittal, other than clarification and data supporting previously submitted documentation.</w:t>
      </w:r>
    </w:p>
    <w:p w14:paraId="0000006E" w14:textId="77777777" w:rsidR="008A3DA9" w:rsidRDefault="00836EB9">
      <w:pPr>
        <w:widowControl/>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Only one request for clarification or reconsideration per Dispute from each party will be allowed.</w:t>
      </w:r>
    </w:p>
    <w:p w14:paraId="0000006F" w14:textId="77777777" w:rsidR="008A3DA9" w:rsidRDefault="00836EB9">
      <w:pPr>
        <w:numPr>
          <w:ilvl w:val="0"/>
          <w:numId w:val="12"/>
        </w:numPr>
        <w:tabs>
          <w:tab w:val="left" w:pos="540"/>
        </w:tabs>
        <w:spacing w:after="120" w:line="246" w:lineRule="auto"/>
        <w:ind w:left="360"/>
        <w:rPr>
          <w:rFonts w:ascii="Trebuchet MS" w:eastAsia="Trebuchet MS" w:hAnsi="Trebuchet MS" w:cs="Trebuchet MS"/>
        </w:rPr>
      </w:pPr>
      <w:r>
        <w:rPr>
          <w:rFonts w:ascii="Trebuchet MS" w:eastAsia="Trebuchet MS" w:hAnsi="Trebuchet MS" w:cs="Trebuchet MS"/>
          <w:i/>
        </w:rPr>
        <w:t>Acceptance or Rejection of Recommendation.</w:t>
      </w:r>
      <w:r>
        <w:rPr>
          <w:rFonts w:ascii="Trebuchet MS" w:eastAsia="Trebuchet MS" w:hAnsi="Trebuchet MS" w:cs="Trebuchet MS"/>
        </w:rPr>
        <w:t xml:space="preserve">  CDOT and the Contractor shall submit their written acceptance or rejection of the Recommendation, in whole or in part, concurrently to the other party and the DRB within 14 days after receipt of the Recommendation or following receipt of responses to requests for clarification or reconsideration.  </w:t>
      </w:r>
    </w:p>
    <w:p w14:paraId="00000070" w14:textId="77777777"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the parties accept the Recommendation or a discreet part thereof, it will be implemented per subsections 108.08, 109.04, 109.05, or 109.10 and the Dispute is resolved. </w:t>
      </w:r>
    </w:p>
    <w:p w14:paraId="00000071" w14:textId="2B5DC2DD"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either party rejects the Recommendation in whole or in part, it shall give a written explanation to the other party and the DRB within 14 days after receiving the Recommendation. When the Recommendation is rejected in whole or in part by either party, the other party may either abandon the Dispute or pursue a formal Claim per subsection 105.24.  </w:t>
      </w:r>
    </w:p>
    <w:p w14:paraId="00000072" w14:textId="77777777"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If either party fails to submit its written acceptance or rejection of the Dispute Board’s recommendation, according to these specifications, such failure shall constitute that party’s acceptance of the Board’s recommendation. </w:t>
      </w:r>
    </w:p>
    <w:p w14:paraId="00000073" w14:textId="77777777" w:rsidR="008A3DA9" w:rsidRDefault="00836EB9">
      <w:pPr>
        <w:numPr>
          <w:ilvl w:val="0"/>
          <w:numId w:val="12"/>
        </w:numPr>
        <w:tabs>
          <w:tab w:val="left" w:pos="540"/>
        </w:tabs>
        <w:spacing w:after="120" w:line="246" w:lineRule="auto"/>
        <w:ind w:left="360"/>
        <w:rPr>
          <w:rFonts w:ascii="Trebuchet MS" w:eastAsia="Trebuchet MS" w:hAnsi="Trebuchet MS" w:cs="Trebuchet MS"/>
        </w:rPr>
      </w:pPr>
      <w:r>
        <w:rPr>
          <w:rFonts w:ascii="Trebuchet MS" w:eastAsia="Trebuchet MS" w:hAnsi="Trebuchet MS" w:cs="Trebuchet MS"/>
          <w:i/>
        </w:rPr>
        <w:t>Admissibility of Recommendation</w:t>
      </w:r>
      <w:r>
        <w:rPr>
          <w:rFonts w:ascii="Trebuchet MS" w:eastAsia="Trebuchet MS" w:hAnsi="Trebuchet MS" w:cs="Trebuchet MS"/>
        </w:rPr>
        <w:t>.  Recommendations of a DRB issued per subsection 105.23 are admissible in subsequent proceedings but shall be prefaced with the following paragraph:</w:t>
      </w:r>
    </w:p>
    <w:p w14:paraId="00000074"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This Recommendation may be taken under consideration with the understanding that:</w:t>
      </w:r>
    </w:p>
    <w:p w14:paraId="00000075" w14:textId="77777777" w:rsidR="008A3DA9" w:rsidRDefault="00836EB9" w:rsidP="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The DRB Recommendation was a proceeding based on presentations by the parties.</w:t>
      </w:r>
    </w:p>
    <w:p w14:paraId="00000076" w14:textId="77777777" w:rsidR="008A3DA9" w:rsidRDefault="00836EB9" w:rsidP="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No fact or expert witnesses presented sworn testimony or were subject to cross-examination.</w:t>
      </w:r>
    </w:p>
    <w:p w14:paraId="00000077" w14:textId="77777777" w:rsidR="008A3DA9" w:rsidRDefault="00836EB9" w:rsidP="00836EB9">
      <w:pPr>
        <w:numPr>
          <w:ilvl w:val="3"/>
          <w:numId w:val="4"/>
        </w:numPr>
        <w:spacing w:after="120" w:line="246" w:lineRule="auto"/>
        <w:ind w:left="720"/>
        <w:rPr>
          <w:rFonts w:ascii="Trebuchet MS" w:eastAsia="Trebuchet MS" w:hAnsi="Trebuchet MS" w:cs="Trebuchet MS"/>
        </w:rPr>
      </w:pPr>
      <w:r>
        <w:rPr>
          <w:rFonts w:ascii="Trebuchet MS" w:eastAsia="Trebuchet MS" w:hAnsi="Trebuchet MS" w:cs="Trebuchet MS"/>
        </w:rPr>
        <w:t>The parties to the DRB were not provided with the right to any discovery, such as the production of documents or depositions.</w:t>
      </w:r>
    </w:p>
    <w:p w14:paraId="00000078" w14:textId="77777777" w:rsidR="008A3DA9" w:rsidRDefault="00836EB9" w:rsidP="00836EB9">
      <w:pPr>
        <w:numPr>
          <w:ilvl w:val="3"/>
          <w:numId w:val="4"/>
        </w:numPr>
        <w:spacing w:after="120" w:line="246" w:lineRule="auto"/>
        <w:ind w:left="720"/>
        <w:rPr>
          <w:rFonts w:ascii="Trebuchet MS" w:eastAsia="Trebuchet MS" w:hAnsi="Trebuchet MS" w:cs="Trebuchet MS"/>
        </w:rPr>
      </w:pPr>
      <w:r>
        <w:rPr>
          <w:rFonts w:ascii="Trebuchet MS" w:eastAsia="Trebuchet MS" w:hAnsi="Trebuchet MS" w:cs="Trebuchet MS"/>
        </w:rPr>
        <w:t>There is no record of the DRB hearing other than the Recommendation.</w:t>
      </w:r>
    </w:p>
    <w:p w14:paraId="00000079" w14:textId="77777777" w:rsidR="008A3DA9" w:rsidRDefault="00836EB9">
      <w:pPr>
        <w:spacing w:after="120" w:line="246" w:lineRule="auto"/>
        <w:rPr>
          <w:rFonts w:ascii="Trebuchet MS" w:eastAsia="Trebuchet MS" w:hAnsi="Trebuchet MS" w:cs="Trebuchet MS"/>
          <w:i/>
        </w:rPr>
      </w:pPr>
      <w:r>
        <w:rPr>
          <w:rFonts w:ascii="Trebuchet MS" w:eastAsia="Trebuchet MS" w:hAnsi="Trebuchet MS" w:cs="Trebuchet MS"/>
        </w:rPr>
        <w:t>(m)</w:t>
      </w:r>
      <w:r>
        <w:rPr>
          <w:rFonts w:ascii="Trebuchet MS" w:eastAsia="Trebuchet MS" w:hAnsi="Trebuchet MS" w:cs="Trebuchet MS"/>
          <w:i/>
        </w:rPr>
        <w:t xml:space="preserve"> Cost and Payments.</w:t>
      </w:r>
    </w:p>
    <w:p w14:paraId="0000007A" w14:textId="77777777" w:rsidR="008A3DA9" w:rsidRDefault="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General Administrative Costs. The Contractor and the Department shall equally share the entire cost of the following to support the Board’s operation:</w:t>
      </w:r>
    </w:p>
    <w:p w14:paraId="0000007B"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Copies of the Contract and other relevant documentation</w:t>
      </w:r>
    </w:p>
    <w:p w14:paraId="0000007C"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Meeting space and facilities</w:t>
      </w:r>
    </w:p>
    <w:p w14:paraId="0000007D"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Secretarial services</w:t>
      </w:r>
    </w:p>
    <w:p w14:paraId="0000007E"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Telephone</w:t>
      </w:r>
    </w:p>
    <w:p w14:paraId="0000007F"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Mail</w:t>
      </w:r>
    </w:p>
    <w:p w14:paraId="00000080"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Reproduction</w:t>
      </w:r>
    </w:p>
    <w:p w14:paraId="00000081" w14:textId="77777777" w:rsidR="008A3DA9" w:rsidRDefault="00836EB9">
      <w:pPr>
        <w:numPr>
          <w:ilvl w:val="0"/>
          <w:numId w:val="13"/>
        </w:numPr>
        <w:spacing w:after="120" w:line="246" w:lineRule="auto"/>
        <w:ind w:left="1080"/>
        <w:rPr>
          <w:rFonts w:ascii="Trebuchet MS" w:eastAsia="Trebuchet MS" w:hAnsi="Trebuchet MS" w:cs="Trebuchet MS"/>
        </w:rPr>
      </w:pPr>
      <w:r>
        <w:rPr>
          <w:rFonts w:ascii="Trebuchet MS" w:eastAsia="Trebuchet MS" w:hAnsi="Trebuchet MS" w:cs="Trebuchet MS"/>
        </w:rPr>
        <w:t>Filing</w:t>
      </w:r>
    </w:p>
    <w:p w14:paraId="00000082" w14:textId="386A1035" w:rsidR="008A3DA9" w:rsidRDefault="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 xml:space="preserve">The Department and the Contractor shall bear the costs and expenses of the DRB equally. Each DRB board member shall be compensated at an agreed rate of $1,200 per day if time spent on-site per meeting is greater than four hours.  Each DRB board member shall be compensated at an agreed rate of $800 per day if the time spent on-site per meeting is less than or equal to four hours.  The time spent traveling to and from each meeting shall be reimbursed at $50 per hour if the travel distance is more than 50 miles.  The agreed daily and travel time rates shall be considered full compensation for on-site time, travel expenses, transportation, lodging, time for travel of more than 50 miles, and incidentals for each day, or portion thereof, that the DRB member is at an authorized DRB meeting. No additional compensation will be made for time spent by DRB members in review and research activities outside the official DRB meetings unless that time (such as time spent evaluating and preparing recommendations on specific Issues presented to the DRB) has been specifically agreed to in advance by the Department and Contractor. Time away from the project that has been specifically agreed to in advance by the parties will be compensated at an agreed rate of $125 per hour.  The agreed amount of $125 per hour shall include all incidentals. Members serving on more than one DRB, regardless of the number of meetings per day, shall not be paid more than the all-inclusive rate per day or rate per hour for an individual project.  </w:t>
      </w:r>
    </w:p>
    <w:p w14:paraId="00000083" w14:textId="082F8586" w:rsidR="008A3DA9" w:rsidRDefault="00836EB9">
      <w:pPr>
        <w:numPr>
          <w:ilvl w:val="6"/>
          <w:numId w:val="4"/>
        </w:numPr>
        <w:tabs>
          <w:tab w:val="left" w:pos="900"/>
          <w:tab w:val="left" w:pos="990"/>
        </w:tabs>
        <w:spacing w:after="120" w:line="246" w:lineRule="auto"/>
        <w:ind w:left="720"/>
        <w:rPr>
          <w:rFonts w:ascii="Trebuchet MS" w:eastAsia="Trebuchet MS" w:hAnsi="Trebuchet MS" w:cs="Trebuchet MS"/>
        </w:rPr>
      </w:pPr>
      <w:r>
        <w:rPr>
          <w:rFonts w:ascii="Trebuchet MS" w:eastAsia="Trebuchet MS" w:hAnsi="Trebuchet MS" w:cs="Trebuchet MS"/>
        </w:rPr>
        <w:lastRenderedPageBreak/>
        <w:t xml:space="preserve">Payments to Board Members and General Administrative Costs.  Each Board member shall submit an invoice to the Contractor for fees and applicable expenses incurred each month following a month in which the Board members participated in Board functions. Such invoices shall be in the format established by the Contractor and the Department. The Contractor shall submit to the Department copies of all invoices. No markups by the Contractor will be allowed on any DRB costs. The Department will split the cost by authorizing a 50 percent payment on the next progress payment. The Contractor shall make all payments in full to Board members within seven calendar days after receiving payment from the Department for this work.  </w:t>
      </w:r>
    </w:p>
    <w:p w14:paraId="00000084" w14:textId="72CE69E8" w:rsidR="008A3DA9" w:rsidRDefault="008A3DA9">
      <w:pPr>
        <w:spacing w:after="120" w:line="246" w:lineRule="auto"/>
        <w:ind w:left="5400"/>
        <w:rPr>
          <w:rFonts w:ascii="Trebuchet MS" w:eastAsia="Trebuchet MS" w:hAnsi="Trebuchet MS" w:cs="Trebuchet MS"/>
        </w:rPr>
      </w:pPr>
    </w:p>
    <w:p w14:paraId="00000085" w14:textId="77777777" w:rsidR="008A3DA9" w:rsidRDefault="00836EB9" w:rsidP="00836EB9">
      <w:pPr>
        <w:numPr>
          <w:ilvl w:val="0"/>
          <w:numId w:val="12"/>
        </w:numPr>
        <w:spacing w:after="120" w:line="246" w:lineRule="auto"/>
        <w:ind w:left="360"/>
        <w:rPr>
          <w:rFonts w:ascii="Trebuchet MS" w:eastAsia="Trebuchet MS" w:hAnsi="Trebuchet MS" w:cs="Trebuchet MS"/>
          <w:i/>
        </w:rPr>
      </w:pPr>
      <w:r>
        <w:rPr>
          <w:rFonts w:ascii="Trebuchet MS" w:eastAsia="Trebuchet MS" w:hAnsi="Trebuchet MS" w:cs="Trebuchet MS"/>
          <w:i/>
        </w:rPr>
        <w:t>Dispute Review Board Three Party Agreement.</w:t>
      </w:r>
    </w:p>
    <w:p w14:paraId="00000086" w14:textId="77777777" w:rsidR="008A3DA9" w:rsidRDefault="008A3DA9">
      <w:pPr>
        <w:spacing w:after="120" w:line="246" w:lineRule="auto"/>
        <w:rPr>
          <w:rFonts w:ascii="Arial" w:eastAsia="Arial" w:hAnsi="Arial" w:cs="Arial"/>
          <w:i/>
          <w:sz w:val="16"/>
          <w:szCs w:val="16"/>
        </w:rPr>
      </w:pPr>
    </w:p>
    <w:p w14:paraId="0000008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DISPUTE REVIEW BOARD</w:t>
      </w:r>
    </w:p>
    <w:p w14:paraId="00000088"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THREE PARTY AGREEMENT</w:t>
      </w:r>
    </w:p>
    <w:p w14:paraId="0000008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jc w:val="center"/>
        <w:rPr>
          <w:rFonts w:ascii="Trebuchet MS" w:eastAsia="Trebuchet MS" w:hAnsi="Trebuchet MS" w:cs="Trebuchet MS"/>
          <w:sz w:val="21"/>
          <w:szCs w:val="21"/>
          <w:u w:val="single"/>
        </w:rPr>
      </w:pPr>
      <w:r>
        <w:rPr>
          <w:rFonts w:ascii="Trebuchet MS" w:eastAsia="Trebuchet MS" w:hAnsi="Trebuchet MS" w:cs="Trebuchet MS"/>
          <w:sz w:val="21"/>
          <w:szCs w:val="21"/>
        </w:rPr>
        <w:t>COLORADO PROJECT NUMBER</w:t>
      </w:r>
    </w:p>
    <w:p w14:paraId="0000008A"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THIS THREE-PARTY AGREEMENT, made as of the date signed by the Chief Engineer below, by and between: the Colorado Department of Transportation, hereinafter called the “Department”; and</w:t>
      </w:r>
      <w:r>
        <w:rPr>
          <w:rFonts w:ascii="Trebuchet MS" w:eastAsia="Trebuchet MS" w:hAnsi="Trebuchet MS" w:cs="Trebuchet MS"/>
          <w:sz w:val="21"/>
          <w:szCs w:val="21"/>
          <w:u w:val="single"/>
        </w:rPr>
        <w:t xml:space="preserve"> </w:t>
      </w:r>
    </w:p>
    <w:p w14:paraId="0000008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u w:val="single"/>
        </w:rPr>
        <w:t xml:space="preserv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8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hereinafter called the “Contractor”; and </w:t>
      </w:r>
    </w:p>
    <w:p w14:paraId="0000008D"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w:t>
      </w:r>
    </w:p>
    <w:p w14:paraId="0000008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w:t>
      </w:r>
    </w:p>
    <w:p w14:paraId="0000008F"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 and</w:t>
      </w:r>
    </w:p>
    <w:p w14:paraId="0000009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 xml:space="preserve">, </w:t>
      </w:r>
    </w:p>
    <w:p w14:paraId="00000091"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hereinafter called the “Dispute Review Board” or “Board”.</w:t>
      </w:r>
    </w:p>
    <w:p w14:paraId="00000092"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WHEREAS, the Department is now engaged in the construction of the</w:t>
      </w:r>
      <w:r>
        <w:rPr>
          <w:rFonts w:ascii="Trebuchet MS" w:eastAsia="Trebuchet MS" w:hAnsi="Trebuchet MS" w:cs="Trebuchet MS"/>
          <w:sz w:val="21"/>
          <w:szCs w:val="21"/>
          <w:u w:val="single"/>
        </w:rPr>
        <w:t xml:space="preserve"> </w:t>
      </w:r>
    </w:p>
    <w:p w14:paraId="00000093"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[Project Name]</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p>
    <w:p w14:paraId="0000009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and</w:t>
      </w:r>
    </w:p>
    <w:p w14:paraId="00000095"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WHEREAS, the Contract provides for the establishment of a Board in accordance with subsections 105.22 and 105.23 of the specifications.</w:t>
      </w:r>
    </w:p>
    <w:p w14:paraId="00000096"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lastRenderedPageBreak/>
        <w:t>NOW, THEREFORE, it is hereby agreed:</w:t>
      </w:r>
    </w:p>
    <w:p w14:paraId="0000009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w:t>
      </w:r>
    </w:p>
    <w:p w14:paraId="00000098"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DESCRIPTION OF WORK AND SERVICES</w:t>
      </w:r>
    </w:p>
    <w:p w14:paraId="0000009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Department and the Contractor shall form a Board in accordance with this agreement and the provisions of subsection 105.23.</w:t>
      </w:r>
    </w:p>
    <w:p w14:paraId="0000009A"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II</w:t>
      </w:r>
    </w:p>
    <w:p w14:paraId="0000009B"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COMMITMENT ON THE PART OF THE PARTIES HERETO</w:t>
      </w:r>
    </w:p>
    <w:p w14:paraId="0000009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parties hereto shall faithfully fulfill the requirements of subsection 105.23 and the requirements of this agreement.</w:t>
      </w:r>
    </w:p>
    <w:p w14:paraId="0000009D"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III</w:t>
      </w:r>
    </w:p>
    <w:p w14:paraId="0000009E"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COMPENSATION</w:t>
      </w:r>
    </w:p>
    <w:p w14:paraId="0000009F" w14:textId="222223DF"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parties shall share equally in the cost of the Board, including general administrative costs (meeting space and facilities, secretarial services, telephone, mail, reproduction, and filing) and the member’s individual fees. Reimbursement of the Contractor’s share of the Board expenses for any reason is prohibited.</w:t>
      </w:r>
    </w:p>
    <w:p w14:paraId="000000A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Contractor shall make all payments in full to the Board members. The Contractor shall submit to the Department an itemized statement for all such payments, and the Department will split the cost by including a 50 percent payment on the next progress payment. The Contractor and the Department will agree to accept invoiced costs prior to payment by the Contractor.</w:t>
      </w:r>
    </w:p>
    <w:p w14:paraId="000000A1"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Board members shall keep all fee records pertaining to this agreement available for inspection by representatives of the Department and the Contractor for a period of three years after the termination of the Board members’ services.</w:t>
      </w:r>
    </w:p>
    <w:p w14:paraId="000000A2" w14:textId="4734D773"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Payment to each Board member shall be at the fee rates established in subsection 105.23 and agreed to by each Board member, the Contractor, and the Department. In addition, reimbursement will be made for applicable expenses.</w:t>
      </w:r>
    </w:p>
    <w:p w14:paraId="000000A3" w14:textId="513A296C"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Each Board member shall submit an invoice to the Contractor for fees incurred each month following a month in which the member participated in Board functions. Such invoices shall be in the format established by the Contractor and the Department. </w:t>
      </w:r>
    </w:p>
    <w:p w14:paraId="000000A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Payments shall be made to each Board member within 60 days after the Contractor and Department have received all the applicable billing data and verified the data submitted by that member. The Contractor shall make payment to the Board member within seven calendar days of receipt of payment from the Department.</w:t>
      </w:r>
    </w:p>
    <w:p w14:paraId="000000A5"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DISPUTE REVIEW BOARD</w:t>
      </w:r>
    </w:p>
    <w:p w14:paraId="000000A6"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THREE PARTY AGREEMENT PAGE 2</w:t>
      </w:r>
    </w:p>
    <w:p w14:paraId="000000A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COLORADO PROJECT NUMBER</w:t>
      </w:r>
    </w:p>
    <w:p w14:paraId="000000A8" w14:textId="77777777" w:rsidR="008A3DA9" w:rsidRDefault="008A3DA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p>
    <w:p w14:paraId="000000A9"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IV</w:t>
      </w:r>
    </w:p>
    <w:p w14:paraId="000000AA"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ASSIGNMENT</w:t>
      </w:r>
    </w:p>
    <w:p w14:paraId="000000A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Board members shall not assign any of the work to be performed by them under this agreement.  Board members shall disclose any conflicts of interest, including but not limited to any dealings </w:t>
      </w:r>
      <w:r>
        <w:rPr>
          <w:rFonts w:ascii="Trebuchet MS" w:eastAsia="Trebuchet MS" w:hAnsi="Trebuchet MS" w:cs="Trebuchet MS"/>
          <w:sz w:val="21"/>
          <w:szCs w:val="21"/>
        </w:rPr>
        <w:lastRenderedPageBreak/>
        <w:t>with either party in the previous five years other than serving as a Board member under other contracts.</w:t>
      </w:r>
    </w:p>
    <w:p w14:paraId="000000AC"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V</w:t>
      </w:r>
    </w:p>
    <w:p w14:paraId="000000AD"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COMMENCEMENT AND TERMINATION OF SERVICES</w:t>
      </w:r>
    </w:p>
    <w:p w14:paraId="000000A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commencement of the services of the Board shall be in accordance with subsection 105.23 of the specifications and shall continue until all assigned Disputes under the Contract, which may require the Board’s services, have been heard and a Recommendation has been issued by the Board as specified in subsection 105.23. If a Board member is unable to fulfill his responsibilities for reasons specified in subsection 105.23(b)7, he shall be replaced as provided therein, and the Board shall fulfill its responsibilities as though there had been no change.</w:t>
      </w:r>
    </w:p>
    <w:p w14:paraId="000000AF"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VI</w:t>
      </w:r>
    </w:p>
    <w:p w14:paraId="000000B0"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LEGAL RELATIONS</w:t>
      </w:r>
    </w:p>
    <w:p w14:paraId="000000B1" w14:textId="11766FA8"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The parties hereto mutually agree that each Board member in performance of his duties on the Board is acting as an independent contractor and not as an employee of either the Department or the Contractor. Board members will guard their independence and avoid any communication about the substance of the Dispute without both parties being present. </w:t>
      </w:r>
    </w:p>
    <w:p w14:paraId="000000B2" w14:textId="07A63622"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Board members are absolved of any personal liability arising from the Recommendations of the Board. The parties agree that members of the Dispute review board panel are acting as mediators for purposes of C.R.S. § 13-22-302(4) and, as such, the liability of any Dispute review board member shall be limited to willful and wanton misconduct as provided for in C.R.S. § 13-22-305(6).</w:t>
      </w:r>
    </w:p>
    <w:p w14:paraId="000000B3"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Board members shall not be called as witnesses for future litigation.</w:t>
      </w:r>
    </w:p>
    <w:p w14:paraId="000000B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IN WITNESS HEREOF, the parties hereto have caused this agreement to be executed the day and year written below.</w:t>
      </w:r>
    </w:p>
    <w:p w14:paraId="000000B5"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BOARD MEMBER: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6"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 xml:space="preserv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7"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 xml:space="preserve">BOARD MEMBER: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8"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 xml:space="preserve">BY: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BOARD MEMBER: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A"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CONTRACTOR: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lastRenderedPageBreak/>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D"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TITLE: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 xml:space="preserve"> </w:t>
      </w:r>
    </w:p>
    <w:p w14:paraId="000000B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COLORADO DEPARTMENT OF TRANSPORTATION</w:t>
      </w:r>
    </w:p>
    <w:p w14:paraId="000000BF"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    DATE:                                          ,</w:t>
      </w:r>
    </w:p>
    <w:p w14:paraId="000000C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bookmarkStart w:id="4" w:name="_heading=h.1fob9te" w:colFirst="0" w:colLast="0"/>
      <w:bookmarkEnd w:id="4"/>
      <w:r>
        <w:rPr>
          <w:rFonts w:ascii="Trebuchet MS" w:eastAsia="Trebuchet MS" w:hAnsi="Trebuchet MS" w:cs="Trebuchet MS"/>
          <w:sz w:val="21"/>
          <w:szCs w:val="21"/>
        </w:rPr>
        <w:t>TITLE:</w:t>
      </w:r>
      <w:r>
        <w:rPr>
          <w:rFonts w:ascii="Trebuchet MS" w:eastAsia="Trebuchet MS" w:hAnsi="Trebuchet MS" w:cs="Trebuchet MS"/>
          <w:sz w:val="21"/>
          <w:szCs w:val="21"/>
        </w:rPr>
        <w:tab/>
        <w:t xml:space="preserve"> CHIEF ENGINEER</w:t>
      </w:r>
    </w:p>
    <w:p w14:paraId="000000C1" w14:textId="77777777" w:rsidR="008A3DA9" w:rsidRDefault="008A3DA9">
      <w:pPr>
        <w:spacing w:after="200" w:line="246" w:lineRule="auto"/>
        <w:rPr>
          <w:rFonts w:ascii="Arial" w:eastAsia="Arial" w:hAnsi="Arial" w:cs="Arial"/>
          <w:b/>
          <w:sz w:val="20"/>
          <w:szCs w:val="20"/>
        </w:rPr>
      </w:pPr>
    </w:p>
    <w:p w14:paraId="000000C2" w14:textId="0E776F60" w:rsidR="008A3DA9" w:rsidRDefault="00836EB9">
      <w:pPr>
        <w:spacing w:after="200" w:line="246" w:lineRule="auto"/>
        <w:rPr>
          <w:rFonts w:ascii="Trebuchet MS" w:eastAsia="Trebuchet MS" w:hAnsi="Trebuchet MS" w:cs="Trebuchet MS"/>
          <w:b/>
        </w:rPr>
      </w:pPr>
      <w:bookmarkStart w:id="5" w:name="_heading=h.3znysh7" w:colFirst="0" w:colLast="0"/>
      <w:bookmarkEnd w:id="5"/>
      <w:r>
        <w:rPr>
          <w:rFonts w:ascii="Trebuchet MS" w:eastAsia="Trebuchet MS" w:hAnsi="Trebuchet MS" w:cs="Trebuchet MS"/>
          <w:b/>
        </w:rPr>
        <w:t xml:space="preserve">105.24 </w:t>
      </w:r>
      <w:r>
        <w:rPr>
          <w:rFonts w:ascii="Trebuchet MS" w:eastAsia="Trebuchet MS" w:hAnsi="Trebuchet MS" w:cs="Trebuchet MS"/>
          <w:b/>
          <w:color w:val="000000"/>
        </w:rPr>
        <w:t>Claims for Unresolved Disputes.</w:t>
      </w:r>
      <w:r>
        <w:rPr>
          <w:rFonts w:ascii="Trebuchet MS" w:eastAsia="Trebuchet MS" w:hAnsi="Trebuchet MS" w:cs="Trebuchet MS"/>
          <w:b/>
        </w:rPr>
        <w:t xml:space="preserve">  </w:t>
      </w:r>
      <w:r>
        <w:rPr>
          <w:rFonts w:ascii="Trebuchet MS" w:eastAsia="Trebuchet MS" w:hAnsi="Trebuchet MS" w:cs="Trebuchet MS"/>
        </w:rPr>
        <w:t>The Contractor may file a Claim only if the Disputes resolution process described in subsections 105.22 and 105.23 has been exhausted without resolution of the Dispute. Other methods of nonbinding Dispute resolution, exclusive of litigation, can be used if agreed to by both parties.</w:t>
      </w:r>
    </w:p>
    <w:p w14:paraId="000000C3" w14:textId="16F8721F"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This subsection applies to any unresolved Dispute or set of Disputes between CDOT and the Contractor with an aggregate value of more than $15,000. Unresolved Disputes with an aggregate value of more than $15,000 from subcontractors, materials suppliers, or any other entity not a party to the Contract shall be submitted through the Contractor per this subsection as a pass-through Claim. Review of a pass-through Claim does not create privity of Contract between CDOT and any other entity.</w:t>
      </w:r>
    </w:p>
    <w:p w14:paraId="000000C4"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Subsections 105.22, 105.23, and 105.24 provide both contractual alternative Dispute resolution processes and constitute remedy-granting provisions pursuant to Colorado Revised Statutes (CRS), which must be exhausted in their entirety.</w:t>
      </w:r>
    </w:p>
    <w:p w14:paraId="000000C5"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Litigation proceedings must commence within 180 calendar days of the Chief Engineer's decision, absent a written agreement otherwise by both parties.</w:t>
      </w:r>
    </w:p>
    <w:p w14:paraId="000000C6"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The venue for all unresolved Disputes with an aggregate value of $15,000 or less shall be the County Court for the City and County of Denver.</w:t>
      </w:r>
    </w:p>
    <w:p w14:paraId="000000C7"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Non-binding Forms of alternative Dispute resolution, such as Mediation, are available upon mutual agreement of the parties for all Claims submitted per this subsection.</w:t>
      </w:r>
    </w:p>
    <w:p w14:paraId="000000C8" w14:textId="06FB1BC0"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 xml:space="preserve">The cost of the non-binding ADR process shall be shared equally by both parties, with each party bearing its own preparation costs. The type of nonbinding ADR process shall be agreed upon by the parties and shall be conducted within the State of Colorado at a mutually acceptable location. Participation in a nonbinding ADR process does not in any way waive the requirement that litigation proceedings must commence within 180 calendar days of the Chief Engineer's decision, absent written agreement otherwise by both parties. </w:t>
      </w:r>
    </w:p>
    <w:p w14:paraId="000000C9" w14:textId="2729D9D4" w:rsidR="008A3DA9" w:rsidRDefault="00836EB9">
      <w:pPr>
        <w:numPr>
          <w:ilvl w:val="0"/>
          <w:numId w:val="2"/>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lastRenderedPageBreak/>
        <w:t>Notice of Intent to File a Claim</w:t>
      </w:r>
      <w:r>
        <w:rPr>
          <w:rFonts w:ascii="Trebuchet MS" w:eastAsia="Trebuchet MS" w:hAnsi="Trebuchet MS" w:cs="Trebuchet MS"/>
          <w:color w:val="000000"/>
        </w:rPr>
        <w:t xml:space="preserve">.  Within 30 days after rejection of the Dispute Resolution Board’s Recommendation issued per subsection 105.23, the Contractor shall provide the Region Transportation Director (RTD) with a written notice of intent to file a Claim. The Contractor shall also send a copy of this notice to the Resident Engineer. For the purpose of this subsection, Region Transportation Director shall mean the Region Transportation Director or the Region Transportation Director’s designated representative. CDOT will acknowledge in writing receipt of </w:t>
      </w:r>
      <w:r>
        <w:rPr>
          <w:rFonts w:ascii="Trebuchet MS" w:eastAsia="Trebuchet MS" w:hAnsi="Trebuchet MS" w:cs="Trebuchet MS"/>
        </w:rPr>
        <w:t xml:space="preserve">the </w:t>
      </w:r>
      <w:r>
        <w:rPr>
          <w:rFonts w:ascii="Trebuchet MS" w:eastAsia="Trebuchet MS" w:hAnsi="Trebuchet MS" w:cs="Trebuchet MS"/>
          <w:color w:val="000000"/>
        </w:rPr>
        <w:t>Notice of Intent within seven days.</w:t>
      </w:r>
    </w:p>
    <w:p w14:paraId="000000CA" w14:textId="77777777" w:rsidR="008A3DA9" w:rsidRDefault="00836EB9">
      <w:pPr>
        <w:numPr>
          <w:ilvl w:val="0"/>
          <w:numId w:val="2"/>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t>Claim Package Submission</w:t>
      </w:r>
      <w:r>
        <w:rPr>
          <w:rFonts w:ascii="Trebuchet MS" w:eastAsia="Trebuchet MS" w:hAnsi="Trebuchet MS" w:cs="Trebuchet MS"/>
          <w:color w:val="000000"/>
        </w:rPr>
        <w:t xml:space="preserve">.  Within 60 days after submitting the notice of intent to file a Claim, the Contractor shall submit, to the RTD, five copies of a complete Claim package representing the final position the Contractor wishes to have considered. All Claims shall be in writing and in sufficient detail to enable the RTD to ascertain the basis and amount of </w:t>
      </w:r>
      <w:r>
        <w:rPr>
          <w:rFonts w:ascii="Trebuchet MS" w:eastAsia="Trebuchet MS" w:hAnsi="Trebuchet MS" w:cs="Trebuchet MS"/>
        </w:rPr>
        <w:t xml:space="preserve">the </w:t>
      </w:r>
      <w:r>
        <w:rPr>
          <w:rFonts w:ascii="Trebuchet MS" w:eastAsia="Trebuchet MS" w:hAnsi="Trebuchet MS" w:cs="Trebuchet MS"/>
          <w:color w:val="000000"/>
        </w:rPr>
        <w:t xml:space="preserve">Claim. The Claim package shall include all documents supporting the Claim, regardless of whether such documents were provided previously to CDOT. </w:t>
      </w:r>
    </w:p>
    <w:p w14:paraId="000000CB" w14:textId="0B965A9B"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requested by the Contractor, the 60-day period may be extended by the RTD in writing before final acceptance. At a minimum, the following information shall accompany each Claim:</w:t>
      </w:r>
    </w:p>
    <w:p w14:paraId="000000CC" w14:textId="77777777" w:rsidR="008A3DA9" w:rsidRDefault="00836EB9">
      <w:pPr>
        <w:numPr>
          <w:ilvl w:val="6"/>
          <w:numId w:val="11"/>
        </w:numPr>
        <w:spacing w:after="120" w:line="246" w:lineRule="auto"/>
        <w:ind w:left="720"/>
        <w:rPr>
          <w:rFonts w:ascii="Trebuchet MS" w:eastAsia="Trebuchet MS" w:hAnsi="Trebuchet MS" w:cs="Trebuchet MS"/>
        </w:rPr>
      </w:pPr>
      <w:r>
        <w:rPr>
          <w:rFonts w:ascii="Trebuchet MS" w:eastAsia="Trebuchet MS" w:hAnsi="Trebuchet MS" w:cs="Trebuchet MS"/>
        </w:rPr>
        <w:t>A claim certification containing the following language, as appropriate:</w:t>
      </w:r>
    </w:p>
    <w:p w14:paraId="000000CD" w14:textId="77777777" w:rsidR="008A3DA9" w:rsidRDefault="00836EB9">
      <w:pPr>
        <w:numPr>
          <w:ilvl w:val="0"/>
          <w:numId w:val="8"/>
        </w:numPr>
        <w:spacing w:after="120" w:line="246" w:lineRule="auto"/>
        <w:rPr>
          <w:rFonts w:ascii="Trebuchet MS" w:eastAsia="Trebuchet MS" w:hAnsi="Trebuchet MS" w:cs="Trebuchet MS"/>
        </w:rPr>
      </w:pPr>
      <w:r>
        <w:rPr>
          <w:rFonts w:ascii="Trebuchet MS" w:eastAsia="Trebuchet MS" w:hAnsi="Trebuchet MS" w:cs="Trebuchet MS"/>
        </w:rPr>
        <w:t>For a direct Claim by the Contractor:</w:t>
      </w:r>
    </w:p>
    <w:p w14:paraId="000000CE" w14:textId="77777777" w:rsidR="008A3DA9" w:rsidRDefault="00836EB9">
      <w:pPr>
        <w:keepNext/>
        <w:keepLines/>
        <w:widowControl/>
        <w:pBdr>
          <w:top w:val="single" w:sz="4" w:space="1" w:color="000000"/>
          <w:left w:val="single" w:sz="4" w:space="4" w:color="000000"/>
          <w:bottom w:val="single" w:sz="4" w:space="1" w:color="000000"/>
          <w:right w:val="single" w:sz="4" w:space="4" w:color="000000"/>
        </w:pBdr>
        <w:spacing w:after="60" w:line="246" w:lineRule="auto"/>
        <w:jc w:val="center"/>
        <w:rPr>
          <w:rFonts w:ascii="Trebuchet MS" w:eastAsia="Trebuchet MS" w:hAnsi="Trebuchet MS" w:cs="Trebuchet MS"/>
          <w:sz w:val="22"/>
          <w:szCs w:val="22"/>
        </w:rPr>
      </w:pPr>
      <w:r>
        <w:rPr>
          <w:rFonts w:ascii="Trebuchet MS" w:eastAsia="Trebuchet MS" w:hAnsi="Trebuchet MS" w:cs="Trebuchet MS"/>
          <w:sz w:val="22"/>
          <w:szCs w:val="22"/>
        </w:rPr>
        <w:t>CONTRACTOR’S CLAIM CERTIFICATION</w:t>
      </w:r>
    </w:p>
    <w:p w14:paraId="000000CF"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Under penalty of law for perjury or falsification, the undersigned,</w:t>
      </w:r>
      <w:r>
        <w:rPr>
          <w:rFonts w:ascii="Trebuchet MS" w:eastAsia="Trebuchet MS" w:hAnsi="Trebuchet MS" w:cs="Trebuchet MS"/>
          <w:sz w:val="22"/>
          <w:szCs w:val="22"/>
          <w:u w:val="single"/>
        </w:rPr>
        <w:t xml:space="preserve">                      (name)                                     </w:t>
      </w:r>
      <w:r>
        <w:rPr>
          <w:rFonts w:ascii="Trebuchet MS" w:eastAsia="Trebuchet MS" w:hAnsi="Trebuchet MS" w:cs="Trebuchet MS"/>
          <w:sz w:val="22"/>
          <w:szCs w:val="22"/>
        </w:rPr>
        <w:t xml:space="preserve">,   </w:t>
      </w:r>
      <w:r>
        <w:rPr>
          <w:rFonts w:ascii="Trebuchet MS" w:eastAsia="Trebuchet MS" w:hAnsi="Trebuchet MS" w:cs="Trebuchet MS"/>
          <w:sz w:val="22"/>
          <w:szCs w:val="22"/>
          <w:u w:val="single"/>
        </w:rPr>
        <w:t xml:space="preserve">(title)                   ,                               </w:t>
      </w:r>
      <w:r>
        <w:rPr>
          <w:rFonts w:ascii="Trebuchet MS" w:eastAsia="Trebuchet MS" w:hAnsi="Trebuchet MS" w:cs="Trebuchet MS"/>
          <w:sz w:val="22"/>
          <w:szCs w:val="22"/>
        </w:rPr>
        <w:t xml:space="preserve">of </w:t>
      </w:r>
      <w:r>
        <w:rPr>
          <w:rFonts w:ascii="Trebuchet MS" w:eastAsia="Trebuchet MS" w:hAnsi="Trebuchet MS" w:cs="Trebuchet MS"/>
          <w:sz w:val="22"/>
          <w:szCs w:val="22"/>
          <w:u w:val="single"/>
        </w:rPr>
        <w:t xml:space="preserve">                           (company)                        </w:t>
      </w:r>
      <w:r>
        <w:rPr>
          <w:rFonts w:ascii="Trebuchet MS" w:eastAsia="Trebuchet MS" w:hAnsi="Trebuchet MS" w:cs="Trebuchet MS"/>
          <w:sz w:val="22"/>
          <w:szCs w:val="22"/>
        </w:rPr>
        <w:t>, hereby certifies that the Claim of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for extra compensation and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Days additional time, made for work on this Contract is true to the best of my knowledge and belief and supported under the Contract between the parties.</w:t>
      </w:r>
    </w:p>
    <w:p w14:paraId="000000D0"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This Claim package contains all available documents that support the Claims made, and I understand that no additional information, other than for clarification and data supporting previously submitted documentation, may be presented by me.  </w:t>
      </w:r>
    </w:p>
    <w:p w14:paraId="000000D1"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ab/>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D2"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t xml:space="preserve">Subscribed and sworn before me this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 day of</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w:t>
      </w:r>
    </w:p>
    <w:p w14:paraId="000000D3"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D4"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ind w:firstLine="360"/>
        <w:rPr>
          <w:rFonts w:ascii="Trebuchet MS" w:eastAsia="Trebuchet MS" w:hAnsi="Trebuchet MS" w:cs="Trebuchet MS"/>
          <w:sz w:val="22"/>
          <w:szCs w:val="22"/>
        </w:rPr>
      </w:pPr>
      <w:r>
        <w:rPr>
          <w:rFonts w:ascii="Trebuchet MS" w:eastAsia="Trebuchet MS" w:hAnsi="Trebuchet MS" w:cs="Trebuchet MS"/>
          <w:sz w:val="22"/>
          <w:szCs w:val="22"/>
        </w:rPr>
        <w:t>NOTARY PUBLIC</w:t>
      </w:r>
    </w:p>
    <w:p w14:paraId="000000D5"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ind w:firstLine="360"/>
        <w:rPr>
          <w:rFonts w:ascii="Trebuchet MS" w:eastAsia="Trebuchet MS" w:hAnsi="Trebuchet MS" w:cs="Trebuchet MS"/>
          <w:sz w:val="22"/>
          <w:szCs w:val="22"/>
        </w:rPr>
      </w:pPr>
      <w:r>
        <w:rPr>
          <w:rFonts w:ascii="Trebuchet MS" w:eastAsia="Trebuchet MS" w:hAnsi="Trebuchet MS" w:cs="Trebuchet MS"/>
          <w:sz w:val="22"/>
          <w:szCs w:val="22"/>
        </w:rPr>
        <w:t>My Commission Expires: _______________________</w:t>
      </w:r>
    </w:p>
    <w:p w14:paraId="000000D6" w14:textId="77777777" w:rsidR="008A3DA9" w:rsidRDefault="008A3DA9">
      <w:pPr>
        <w:widowControl/>
        <w:rPr>
          <w:rFonts w:ascii="Trebuchet MS" w:eastAsia="Trebuchet MS" w:hAnsi="Trebuchet MS" w:cs="Trebuchet MS"/>
          <w:sz w:val="22"/>
          <w:szCs w:val="22"/>
        </w:rPr>
      </w:pPr>
    </w:p>
    <w:p w14:paraId="000000D7" w14:textId="77777777" w:rsidR="008A3DA9" w:rsidRDefault="00836EB9">
      <w:pPr>
        <w:numPr>
          <w:ilvl w:val="0"/>
          <w:numId w:val="8"/>
        </w:numPr>
        <w:spacing w:after="120" w:line="246" w:lineRule="auto"/>
        <w:rPr>
          <w:rFonts w:ascii="Trebuchet MS" w:eastAsia="Trebuchet MS" w:hAnsi="Trebuchet MS" w:cs="Trebuchet MS"/>
          <w:sz w:val="22"/>
          <w:szCs w:val="22"/>
        </w:rPr>
      </w:pPr>
      <w:r>
        <w:rPr>
          <w:rFonts w:ascii="Trebuchet MS" w:eastAsia="Trebuchet MS" w:hAnsi="Trebuchet MS" w:cs="Trebuchet MS"/>
          <w:sz w:val="22"/>
          <w:szCs w:val="22"/>
        </w:rPr>
        <w:lastRenderedPageBreak/>
        <w:t>For a pass-through Claim:</w:t>
      </w:r>
    </w:p>
    <w:p w14:paraId="000000D8" w14:textId="77777777" w:rsidR="008A3DA9" w:rsidRDefault="00836EB9">
      <w:pPr>
        <w:keepLines/>
        <w:widowControl/>
        <w:pBdr>
          <w:top w:val="single" w:sz="4" w:space="1" w:color="000000"/>
          <w:left w:val="single" w:sz="4" w:space="4" w:color="000000"/>
          <w:bottom w:val="single" w:sz="4" w:space="1" w:color="000000"/>
          <w:right w:val="single" w:sz="4" w:space="4" w:color="000000"/>
        </w:pBdr>
        <w:spacing w:after="60" w:line="246" w:lineRule="auto"/>
        <w:jc w:val="center"/>
        <w:rPr>
          <w:rFonts w:ascii="Trebuchet MS" w:eastAsia="Trebuchet MS" w:hAnsi="Trebuchet MS" w:cs="Trebuchet MS"/>
          <w:sz w:val="22"/>
          <w:szCs w:val="22"/>
        </w:rPr>
      </w:pPr>
      <w:r>
        <w:rPr>
          <w:rFonts w:ascii="Trebuchet MS" w:eastAsia="Trebuchet MS" w:hAnsi="Trebuchet MS" w:cs="Trebuchet MS"/>
          <w:sz w:val="22"/>
          <w:szCs w:val="22"/>
        </w:rPr>
        <w:t>PASS-THROUGH CLAIM CERTIFICATION</w:t>
      </w:r>
    </w:p>
    <w:p w14:paraId="000000D9"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Under penalty of law for perjury or falsification, the undersigned,</w:t>
      </w:r>
      <w:r>
        <w:rPr>
          <w:rFonts w:ascii="Trebuchet MS" w:eastAsia="Trebuchet MS" w:hAnsi="Trebuchet MS" w:cs="Trebuchet MS"/>
          <w:sz w:val="22"/>
          <w:szCs w:val="22"/>
          <w:u w:val="single"/>
        </w:rPr>
        <w:t xml:space="preserve">                      (name)                                     </w:t>
      </w:r>
      <w:r>
        <w:rPr>
          <w:rFonts w:ascii="Trebuchet MS" w:eastAsia="Trebuchet MS" w:hAnsi="Trebuchet MS" w:cs="Trebuchet MS"/>
          <w:sz w:val="22"/>
          <w:szCs w:val="22"/>
        </w:rPr>
        <w:t xml:space="preserve">, </w:t>
      </w:r>
      <w:r>
        <w:rPr>
          <w:rFonts w:ascii="Trebuchet MS" w:eastAsia="Trebuchet MS" w:hAnsi="Trebuchet MS" w:cs="Trebuchet MS"/>
          <w:sz w:val="22"/>
          <w:szCs w:val="22"/>
          <w:u w:val="single"/>
        </w:rPr>
        <w:t xml:space="preserve"> (title)                    ,                                         </w:t>
      </w:r>
      <w:r>
        <w:rPr>
          <w:rFonts w:ascii="Trebuchet MS" w:eastAsia="Trebuchet MS" w:hAnsi="Trebuchet MS" w:cs="Trebuchet MS"/>
          <w:sz w:val="22"/>
          <w:szCs w:val="22"/>
        </w:rPr>
        <w:t xml:space="preserve">, of </w:t>
      </w:r>
      <w:r>
        <w:rPr>
          <w:rFonts w:ascii="Trebuchet MS" w:eastAsia="Trebuchet MS" w:hAnsi="Trebuchet MS" w:cs="Trebuchet MS"/>
          <w:sz w:val="22"/>
          <w:szCs w:val="22"/>
          <w:u w:val="single"/>
        </w:rPr>
        <w:t xml:space="preserve">                           (company)                    </w:t>
      </w:r>
      <w:r>
        <w:rPr>
          <w:rFonts w:ascii="Trebuchet MS" w:eastAsia="Trebuchet MS" w:hAnsi="Trebuchet MS" w:cs="Trebuchet MS"/>
          <w:sz w:val="22"/>
          <w:szCs w:val="22"/>
        </w:rPr>
        <w:t>, hereby certify that the Claim of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 for extra compensation and</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 Days additional time, made for work on this Project is true to the best of my knowledge and belief and supported under the Contract between the parties.</w:t>
      </w:r>
    </w:p>
    <w:p w14:paraId="000000DA"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This Claim package contains all available documents that support the claims made and I understand that no additional information, other than for clarification and data supporting previously submitted documentation, may be presented by me.  </w:t>
      </w:r>
    </w:p>
    <w:p w14:paraId="000000DB"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       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DC"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Subscribed and sworn before me this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day of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 .</w:t>
      </w:r>
    </w:p>
    <w:p w14:paraId="000000DD"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DE"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NOTARY PUBLIC</w:t>
      </w:r>
    </w:p>
    <w:p w14:paraId="000000DF"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My Commission Expires: _______________________</w:t>
      </w:r>
    </w:p>
    <w:p w14:paraId="000000E0"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p>
    <w:p w14:paraId="000000E1"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The Contractor certifies that this Claim, being passed through to CDOT is passed through in good faith and is accurate and complete to the best of my knowledge and belief. </w:t>
      </w:r>
    </w:p>
    <w:p w14:paraId="000000E2"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E3"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Subscribed and sworn before me this </w:t>
      </w:r>
      <w:r>
        <w:rPr>
          <w:rFonts w:ascii="Trebuchet MS" w:eastAsia="Trebuchet MS" w:hAnsi="Trebuchet MS" w:cs="Trebuchet MS"/>
          <w:sz w:val="22"/>
          <w:szCs w:val="22"/>
          <w:u w:val="single"/>
        </w:rPr>
        <w:tab/>
      </w:r>
      <w:r>
        <w:rPr>
          <w:rFonts w:ascii="Trebuchet MS" w:eastAsia="Trebuchet MS" w:hAnsi="Trebuchet MS" w:cs="Trebuchet MS"/>
          <w:sz w:val="22"/>
          <w:szCs w:val="22"/>
        </w:rPr>
        <w:t xml:space="preserve"> day of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w:t>
      </w:r>
    </w:p>
    <w:p w14:paraId="000000E4"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E5"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NOTARY PUBLIC</w:t>
      </w:r>
    </w:p>
    <w:p w14:paraId="000000E6"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My Commission Expires: _______________________</w:t>
      </w:r>
    </w:p>
    <w:p w14:paraId="000000E7" w14:textId="77777777" w:rsidR="008A3DA9" w:rsidRDefault="008A3DA9">
      <w:pPr>
        <w:spacing w:after="120" w:line="246" w:lineRule="auto"/>
        <w:ind w:left="720"/>
        <w:rPr>
          <w:rFonts w:ascii="Arial" w:eastAsia="Arial" w:hAnsi="Arial" w:cs="Arial"/>
          <w:sz w:val="20"/>
          <w:szCs w:val="20"/>
        </w:rPr>
      </w:pPr>
    </w:p>
    <w:p w14:paraId="000000E8" w14:textId="221EB5D1" w:rsidR="008A3DA9" w:rsidRDefault="00836EB9">
      <w:pPr>
        <w:numPr>
          <w:ilvl w:val="6"/>
          <w:numId w:val="11"/>
        </w:numPr>
        <w:spacing w:after="120" w:line="246" w:lineRule="auto"/>
        <w:ind w:left="720"/>
        <w:rPr>
          <w:rFonts w:ascii="Trebuchet MS" w:eastAsia="Trebuchet MS" w:hAnsi="Trebuchet MS" w:cs="Trebuchet MS"/>
        </w:rPr>
      </w:pPr>
      <w:r>
        <w:rPr>
          <w:rFonts w:ascii="Trebuchet MS" w:eastAsia="Trebuchet MS" w:hAnsi="Trebuchet MS" w:cs="Trebuchet MS"/>
        </w:rPr>
        <w:t>A detailed factual statement of the Claim for additional compensation, time, or both, providing all necessary dates, locations, and items of work affected by the Claim. The Contractor’s detailed factual statement shall expressly describe the basis of the Claim and factual evidence supporting the Claim. This requirement is not satisfied by simply incorporating into the Claim package other documents that describe the basis of the Claim and supporting factual evidence.</w:t>
      </w:r>
    </w:p>
    <w:p w14:paraId="000000E9" w14:textId="77777777" w:rsidR="008A3DA9" w:rsidRDefault="00836EB9">
      <w:pPr>
        <w:numPr>
          <w:ilvl w:val="3"/>
          <w:numId w:val="11"/>
        </w:numPr>
        <w:tabs>
          <w:tab w:val="left" w:pos="810"/>
        </w:tabs>
        <w:spacing w:after="120" w:line="246" w:lineRule="auto"/>
        <w:ind w:left="720"/>
        <w:rPr>
          <w:rFonts w:ascii="Trebuchet MS" w:eastAsia="Trebuchet MS" w:hAnsi="Trebuchet MS" w:cs="Trebuchet MS"/>
        </w:rPr>
      </w:pPr>
      <w:r>
        <w:rPr>
          <w:rFonts w:ascii="Trebuchet MS" w:eastAsia="Trebuchet MS" w:hAnsi="Trebuchet MS" w:cs="Trebuchet MS"/>
        </w:rPr>
        <w:t>The date on which facts were discovered that gave rise to the Claim.</w:t>
      </w:r>
    </w:p>
    <w:p w14:paraId="000000EA"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name, title, and activity of all known CDOT, Consultant, and other individuals who may be knowledgeable about facts giving rise to such Claim.</w:t>
      </w:r>
    </w:p>
    <w:p w14:paraId="000000EB"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name, title, and activity of all known contractors, subcontractors, suppliers, and other individuals who may be knowledgeable about facts giving rise to such Claim.</w:t>
      </w:r>
    </w:p>
    <w:p w14:paraId="000000EC"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The specific provisions of the Contract, which support the Claim, and a statement of the reasons why such provisions support the Claim.</w:t>
      </w:r>
    </w:p>
    <w:p w14:paraId="000000ED"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the Claim relates to a decision of the Project Engineer, which the Contract leaves to the Project Engineer’s discretion, the Contractor shall set out in detail all facts supporting its position relating to the decision of the Project Engineer.</w:t>
      </w:r>
    </w:p>
    <w:p w14:paraId="000000EE"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identification of any documents and the substance of all oral communications that support the Claim.</w:t>
      </w:r>
    </w:p>
    <w:p w14:paraId="000000EF"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Copies of all known documents that support the Claim.</w:t>
      </w:r>
    </w:p>
    <w:p w14:paraId="000000F0"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Dispute Review Board Recommendation.</w:t>
      </w:r>
    </w:p>
    <w:p w14:paraId="000000F1"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an extension of contract time is sought, the documents required per subsection 108.08(d), along with a statement defining if any liquidated damages should be released, if applicable.</w:t>
      </w:r>
    </w:p>
    <w:p w14:paraId="000000F2"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additional compensation beyond the Contract Amount is sought, the exact amount sought and a breakdown of that amount into the following categories:</w:t>
      </w:r>
    </w:p>
    <w:p w14:paraId="000000F3" w14:textId="0F31CDAC" w:rsidR="008A3DA9" w:rsidRDefault="00836EB9">
      <w:pPr>
        <w:numPr>
          <w:ilvl w:val="1"/>
          <w:numId w:val="5"/>
        </w:numPr>
        <w:tabs>
          <w:tab w:val="left" w:pos="1260"/>
        </w:tabs>
        <w:spacing w:after="120" w:line="246" w:lineRule="auto"/>
        <w:ind w:left="1080"/>
        <w:rPr>
          <w:rFonts w:ascii="Trebuchet MS" w:eastAsia="Trebuchet MS" w:hAnsi="Trebuchet MS" w:cs="Trebuchet MS"/>
        </w:rPr>
      </w:pPr>
      <w:r>
        <w:rPr>
          <w:rFonts w:ascii="Trebuchet MS" w:eastAsia="Trebuchet MS" w:hAnsi="Trebuchet MS" w:cs="Trebuchet MS"/>
        </w:rPr>
        <w:t>These categories represent the only costs that, if applicable, are recoverable by the Contractor. All other costs or categories of costs are not recoverable:</w:t>
      </w:r>
    </w:p>
    <w:p w14:paraId="000000F4"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Actual wages and benefits, including FICA, paid for additional labor.</w:t>
      </w:r>
    </w:p>
    <w:p w14:paraId="000000F5"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Costs for additional bond, insurance, and tax.</w:t>
      </w:r>
    </w:p>
    <w:p w14:paraId="000000F6"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Increased costs for materials.</w:t>
      </w:r>
    </w:p>
    <w:p w14:paraId="000000F7"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Equipment costs calculated per subsection 109.04(c) for Contractor-owned equipment and based on certified invoice costs for rented equipment.</w:t>
      </w:r>
    </w:p>
    <w:p w14:paraId="000000F8"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Costs of extended job site overhead (only applies if the Dispute also includes a time extension).</w:t>
      </w:r>
    </w:p>
    <w:p w14:paraId="000000F9"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Salaried employees assigned to the project (only applies if the Dispute also includes a time extension or if the Dispute required salaried employee(s) to be added to the Project).</w:t>
      </w:r>
    </w:p>
    <w:p w14:paraId="000000FA"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Claims from subcontractors and suppliers at any level (the same level of detail as specified is required for all such Claims).</w:t>
      </w:r>
    </w:p>
    <w:p w14:paraId="000000FB"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An additional 16 percent will be added to the total of items (1) through (7) as compensation for items for which no specific allowance is provided, including profit and home office overhead.</w:t>
      </w:r>
    </w:p>
    <w:p w14:paraId="000000FC"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lastRenderedPageBreak/>
        <w:t>Interest shall be paid per CRS 5-12-102 beginning from the date of the Notice of Intent to File Claim.</w:t>
      </w:r>
    </w:p>
    <w:p w14:paraId="000000FD" w14:textId="77777777" w:rsidR="008A3DA9" w:rsidRDefault="00836EB9">
      <w:pPr>
        <w:numPr>
          <w:ilvl w:val="1"/>
          <w:numId w:val="5"/>
        </w:numPr>
        <w:spacing w:after="120" w:line="246" w:lineRule="auto"/>
        <w:ind w:left="1080"/>
        <w:rPr>
          <w:rFonts w:ascii="Trebuchet MS" w:eastAsia="Trebuchet MS" w:hAnsi="Trebuchet MS" w:cs="Trebuchet MS"/>
        </w:rPr>
      </w:pPr>
      <w:r>
        <w:rPr>
          <w:rFonts w:ascii="Trebuchet MS" w:eastAsia="Trebuchet MS" w:hAnsi="Trebuchet MS" w:cs="Trebuchet MS"/>
        </w:rPr>
        <w:t>In adjustment for the costs as allowed above, the Department will have no liability for the following items of damages or expense:</w:t>
      </w:r>
    </w:p>
    <w:p w14:paraId="000000FE"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Profit in excess of that provided in 12.A.(8) above.</w:t>
      </w:r>
    </w:p>
    <w:p w14:paraId="000000FF"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Loss of Profit.</w:t>
      </w:r>
    </w:p>
    <w:p w14:paraId="00000100"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Additional cost of labor inefficiencies in excess of that provided in A. above.</w:t>
      </w:r>
    </w:p>
    <w:p w14:paraId="00000101"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Home office overhead in excess of that provided in A. above.</w:t>
      </w:r>
    </w:p>
    <w:p w14:paraId="00000102"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Consequential damages, including but not limited to loss of bonding capacity, loss of bidding opportunities, and insolvency.</w:t>
      </w:r>
    </w:p>
    <w:p w14:paraId="00000103"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Indirect costs or expenses of any nature in excess of those provided in A. above.</w:t>
      </w:r>
    </w:p>
    <w:p w14:paraId="00000104"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Attorney’s fees, Claim preparation fees, and expert fees.</w:t>
      </w:r>
    </w:p>
    <w:p w14:paraId="00000105" w14:textId="77777777" w:rsidR="008A3DA9" w:rsidRDefault="00836EB9">
      <w:pPr>
        <w:numPr>
          <w:ilvl w:val="0"/>
          <w:numId w:val="14"/>
        </w:numPr>
        <w:spacing w:after="120" w:line="246" w:lineRule="auto"/>
        <w:ind w:left="360"/>
        <w:rPr>
          <w:rFonts w:ascii="Trebuchet MS" w:eastAsia="Trebuchet MS" w:hAnsi="Trebuchet MS" w:cs="Trebuchet MS"/>
        </w:rPr>
      </w:pPr>
      <w:r>
        <w:rPr>
          <w:rFonts w:ascii="Trebuchet MS" w:eastAsia="Trebuchet MS" w:hAnsi="Trebuchet MS" w:cs="Trebuchet MS"/>
          <w:i/>
        </w:rPr>
        <w:t>Region Transportation Director Decision</w:t>
      </w:r>
      <w:r>
        <w:rPr>
          <w:rFonts w:ascii="Trebuchet MS" w:eastAsia="Trebuchet MS" w:hAnsi="Trebuchet MS" w:cs="Trebuchet MS"/>
        </w:rPr>
        <w:t>.  When the Contractor properly files a Claim, the RTD will review the Claim and render a written decision to the Contractor to either affirm or deny the Claim, in whole or in part, per the following procedure.</w:t>
      </w:r>
    </w:p>
    <w:p w14:paraId="00000106"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The RTD may consolidate all related Claims on a project and issue one decision, provided that consolidation does not extend the time period within which the RTD is to render a decision. Consolidation of unrelated Claims will not be made. Within 15 days of the appeal, either party may submit a written request for a hearing with the RTD or duly authorized Region delegates.</w:t>
      </w:r>
    </w:p>
    <w:p w14:paraId="00000107"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The RTD will render a written decision to the Contractor within 45 days after the receipt of the Claim package or receipt of the audit, or after the hearing, whichever is later. In rendering the decision, the RTD: (1) will review the information in the Contractor's Claim; (2) will conduct a hearing if requested by either party; and (3) may consider any other information available in rendering a decision.</w:t>
      </w:r>
    </w:p>
    <w:p w14:paraId="00000108"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The RTD will assemble and maintain a Claim record comprised of all information physically submitted by the Contractor in support of the Claim and all other discoverable information considered by the RTD in reaching a decision. Once the RTD assembles the Claim record, the submission and consideration of additional information, other than for clarification and data supporting previously submitted documentation, at any subsequent level of review by anyone, will not be </w:t>
      </w:r>
      <w:r>
        <w:rPr>
          <w:rFonts w:ascii="Trebuchet MS" w:eastAsia="Trebuchet MS" w:hAnsi="Trebuchet MS" w:cs="Trebuchet MS"/>
        </w:rPr>
        <w:lastRenderedPageBreak/>
        <w:t xml:space="preserve">permitted. </w:t>
      </w:r>
    </w:p>
    <w:p w14:paraId="00000109" w14:textId="04AC028D" w:rsidR="008A3DA9" w:rsidRDefault="00836EB9">
      <w:pPr>
        <w:spacing w:after="80" w:line="246" w:lineRule="auto"/>
        <w:ind w:left="360"/>
        <w:rPr>
          <w:rFonts w:ascii="Trebuchet MS" w:eastAsia="Trebuchet MS" w:hAnsi="Trebuchet MS" w:cs="Trebuchet MS"/>
        </w:rPr>
      </w:pPr>
      <w:r>
        <w:rPr>
          <w:rFonts w:ascii="Trebuchet MS" w:eastAsia="Trebuchet MS" w:hAnsi="Trebuchet MS" w:cs="Trebuchet MS"/>
        </w:rPr>
        <w:t>The RTD will provide a copy of the Claim record and the written decision to the Contractor, describing the information considered by the RTD in reaching a decision and the basis for that decision. If the RTD fails to render a written decision within the 45-day period, or within any extended time period as agreed to by both parties, the Contractor shall either: (1) accept this as a denial of the Claim, or (2) appeal the Claim to the Chief Engineer, as described in this subsection.</w:t>
      </w:r>
    </w:p>
    <w:p w14:paraId="0000010A" w14:textId="77777777" w:rsidR="008A3DA9" w:rsidRDefault="00836EB9">
      <w:pPr>
        <w:spacing w:after="80" w:line="246" w:lineRule="auto"/>
        <w:ind w:left="360"/>
        <w:rPr>
          <w:rFonts w:ascii="Trebuchet MS" w:eastAsia="Trebuchet MS" w:hAnsi="Trebuchet MS" w:cs="Trebuchet MS"/>
        </w:rPr>
      </w:pPr>
      <w:r>
        <w:rPr>
          <w:rFonts w:ascii="Trebuchet MS" w:eastAsia="Trebuchet MS" w:hAnsi="Trebuchet MS" w:cs="Trebuchet MS"/>
        </w:rPr>
        <w:t>If the Contractor accepts the RTD decision, the provisions of the decision shall be implemented per subsections 108.08, 109.04, 109.05, or 109.10, and the Claim is resolved.</w:t>
      </w:r>
    </w:p>
    <w:p w14:paraId="0000010B"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Contractor disagrees with the RTD decision, the Contractor shall either: (1) accept the RTD decision as final, or (2) file a written appeal to the Chief Engineer within 30 days from the receipt of the RTD decision. The Contractor hereby agrees that if a written appeal is not properly filed, the RTD decision is final.</w:t>
      </w:r>
    </w:p>
    <w:p w14:paraId="0000010C" w14:textId="55EA7E23" w:rsidR="008A3DA9" w:rsidRDefault="00836EB9">
      <w:pPr>
        <w:numPr>
          <w:ilvl w:val="0"/>
          <w:numId w:val="14"/>
        </w:numPr>
        <w:spacing w:after="160" w:line="246" w:lineRule="auto"/>
        <w:ind w:left="360"/>
        <w:rPr>
          <w:rFonts w:ascii="Trebuchet MS" w:eastAsia="Trebuchet MS" w:hAnsi="Trebuchet MS" w:cs="Trebuchet MS"/>
        </w:rPr>
      </w:pPr>
      <w:r>
        <w:rPr>
          <w:rFonts w:ascii="Trebuchet MS" w:eastAsia="Trebuchet MS" w:hAnsi="Trebuchet MS" w:cs="Trebuchet MS"/>
          <w:i/>
        </w:rPr>
        <w:t>Chief Engineer Decision</w:t>
      </w:r>
      <w:r>
        <w:rPr>
          <w:rFonts w:ascii="Trebuchet MS" w:eastAsia="Trebuchet MS" w:hAnsi="Trebuchet MS" w:cs="Trebuchet MS"/>
        </w:rPr>
        <w:t>.  When a Claim is appealed, the RTD will provide the Claim record to the Chief Engineer. Within 15 days of the appeal, either party may submit a written request for a hearing with the Chief Engineer or duly authorized Headquarters delegates. The Chief Engineer or a duly authorized Headquarters delegate will review the Claim and render a decision to affirm, overrule, or modify the RTD decision per the following.</w:t>
      </w:r>
    </w:p>
    <w:p w14:paraId="0000010D"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The Chief Engineer will render a written decision within 45 days after receiving the written appeal. The Chief Engineer will not consider any information that was not previously made a part of the Claim record, other than clarification and data supporting previously submitted documentation.</w:t>
      </w:r>
    </w:p>
    <w:p w14:paraId="0000010E" w14:textId="1FF5F748"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The Contractor shall have 30 days to accept or reject the Chief Engineer's decision. The Contractor shall notify the Chief Engineer of its acceptance or rejection in writing.  </w:t>
      </w:r>
    </w:p>
    <w:p w14:paraId="0000010F"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Contractor accepts the Chief Engineer's decision, the provisions of the decision will be implemented per subsections 108.08, 109.04, 109.05, or 109.10 and the Claim is resolved.</w:t>
      </w:r>
    </w:p>
    <w:p w14:paraId="00000110"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If the Contractor disagrees with the Chief Engineer's decision, the Contractor shall either (1) pursue an alternative Dispute resolution process per this specification or (2) initiate litigation per subsection 105.24(e). </w:t>
      </w:r>
    </w:p>
    <w:p w14:paraId="00000111"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Chief Engineer does not issue a decision as required, the Contractor may immediately initiate litigation per subsection 105.24(e).</w:t>
      </w:r>
    </w:p>
    <w:p w14:paraId="00000112" w14:textId="446A881A"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lastRenderedPageBreak/>
        <w:t xml:space="preserve">For the convenience of the parties to the Contract, it is mutually agreed by the parties that any Merit binding or De Novo litigation shall be brought within 180 calendar days from the date of the Chief Engineer's decision. The parties understand and agree that the Contractor's failure to bring suit within the time period provided shall be a complete bar to any such Claims or causes of action. </w:t>
      </w:r>
    </w:p>
    <w:p w14:paraId="00000113" w14:textId="0C9A4ED3" w:rsidR="008A3DA9" w:rsidRDefault="00836EB9">
      <w:pPr>
        <w:numPr>
          <w:ilvl w:val="0"/>
          <w:numId w:val="14"/>
        </w:numPr>
        <w:spacing w:after="120" w:line="246" w:lineRule="auto"/>
        <w:ind w:left="360"/>
        <w:rPr>
          <w:rFonts w:ascii="Trebuchet MS" w:eastAsia="Trebuchet MS" w:hAnsi="Trebuchet MS" w:cs="Trebuchet MS"/>
        </w:rPr>
      </w:pPr>
      <w:r>
        <w:rPr>
          <w:rFonts w:ascii="Trebuchet MS" w:eastAsia="Trebuchet MS" w:hAnsi="Trebuchet MS" w:cs="Trebuchet MS"/>
          <w:i/>
        </w:rPr>
        <w:t>De Novo Litigation</w:t>
      </w:r>
      <w:r>
        <w:rPr>
          <w:rFonts w:ascii="Trebuchet MS" w:eastAsia="Trebuchet MS" w:hAnsi="Trebuchet MS" w:cs="Trebuchet MS"/>
        </w:rPr>
        <w:t>.  If the Contractor disagrees with the Chief Engineer's decision, the Contractor may initiate de novo litigation to finally resolve the Claim that the Contractor submitted to CDOT. Such litigation shall be strictly limited to those Claims that were previously submitted and decided in the contractual Dispute and Claims processes outlined. This does not preclude the joining in one litigation of multiple Claims from the same project, provided that each claim has gone through the Dispute and Claim process specified in subsections 105.22 through 105.24. The parties may agree, in writing, at any time, to pursue some other form of alternative dispute resolution.</w:t>
      </w:r>
    </w:p>
    <w:p w14:paraId="00000114"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Any offer made by the Contractor or the Department at any stage of the Claims process, as set forth in this subsection, shall be deemed an offer of settlement pursuant to Colorado Rule of Evidence 408 and therefore inadmissible in any litigation.</w:t>
      </w:r>
    </w:p>
    <w:p w14:paraId="00000115"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De novo litigation shall proceed per the Colorado Rules of Civil Procedure, and the proper venue is the Colorado State District Court in and for the City and County of Denver.  </w:t>
      </w:r>
    </w:p>
    <w:p w14:paraId="00000116" w14:textId="77777777" w:rsidR="008A3DA9" w:rsidRDefault="008A3DA9"/>
    <w:p w14:paraId="00000117" w14:textId="77777777" w:rsidR="008A3DA9" w:rsidRDefault="008A3DA9"/>
    <w:p w14:paraId="00000118" w14:textId="77777777" w:rsidR="008A3DA9" w:rsidRDefault="008A3DA9"/>
    <w:p w14:paraId="00000119" w14:textId="77777777" w:rsidR="008A3DA9" w:rsidRDefault="00836EB9">
      <w:r>
        <w:rPr>
          <w:rFonts w:ascii="Trebuchet MS" w:eastAsia="Trebuchet MS" w:hAnsi="Trebuchet MS" w:cs="Trebuchet MS"/>
        </w:rPr>
        <w:t>Figure 105-1 summarizes the disputes and claims process described in subsections 105.22, 105.23, and 105.24.</w:t>
      </w:r>
      <w:r>
        <w:t xml:space="preserve"> </w:t>
      </w:r>
    </w:p>
    <w:p w14:paraId="0000011A" w14:textId="77777777" w:rsidR="008A3DA9" w:rsidRDefault="008A3DA9"/>
    <w:p w14:paraId="0000011B" w14:textId="77777777" w:rsidR="008A3DA9" w:rsidRPr="00836EB9" w:rsidRDefault="00836EB9">
      <w:pPr>
        <w:rPr>
          <w:rFonts w:ascii="Trebuchet MS" w:hAnsi="Trebuchet MS"/>
          <w:highlight w:val="yellow"/>
        </w:rPr>
      </w:pPr>
      <w:r w:rsidRPr="00836EB9">
        <w:rPr>
          <w:rFonts w:ascii="Trebuchet MS" w:hAnsi="Trebuchet MS"/>
          <w:highlight w:val="yellow"/>
        </w:rPr>
        <w:t>(Insert Flow Chart)</w:t>
      </w:r>
    </w:p>
    <w:sectPr w:rsidR="008A3DA9" w:rsidRPr="00836EB9" w:rsidSect="00DB2A47">
      <w:headerReference w:type="default" r:id="rId8"/>
      <w:headerReference w:type="first" r:id="rId9"/>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3FBB1" w14:textId="77777777" w:rsidR="008C5465" w:rsidRDefault="008C5465">
      <w:r>
        <w:separator/>
      </w:r>
    </w:p>
  </w:endnote>
  <w:endnote w:type="continuationSeparator" w:id="0">
    <w:p w14:paraId="17039391" w14:textId="77777777" w:rsidR="008C5465" w:rsidRDefault="008C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B832D243-675D-45EF-92A6-949E346354FD}"/>
    <w:embedBold r:id="rId2" w:fontKey="{E4EF9D59-E0EB-4529-A572-161090B169D2}"/>
    <w:embedItalic r:id="rId3" w:fontKey="{90BB23AA-5EE9-4C4A-9A52-DBC8A4388106}"/>
  </w:font>
  <w:font w:name="Courier">
    <w:altName w:val="Courier New"/>
    <w:panose1 w:val="02070409020205020404"/>
    <w:charset w:val="00"/>
    <w:family w:val="auto"/>
    <w:notTrueType/>
    <w:pitch w:val="default"/>
  </w:font>
  <w:font w:name="Aptos Display">
    <w:charset w:val="00"/>
    <w:family w:val="swiss"/>
    <w:pitch w:val="variable"/>
    <w:sig w:usb0="20000287" w:usb1="00000003" w:usb2="00000000" w:usb3="00000000" w:csb0="0000019F" w:csb1="00000000"/>
    <w:embedRegular r:id="rId4" w:fontKey="{1E83AFA9-725B-49F0-BA0A-07E9A0425E9D}"/>
  </w:font>
  <w:font w:name="TimesNewRoman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17ACBC76-517B-42B3-9060-F41B29D635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86465" w14:textId="77777777" w:rsidR="008C5465" w:rsidRDefault="008C5465">
      <w:r>
        <w:separator/>
      </w:r>
    </w:p>
  </w:footnote>
  <w:footnote w:type="continuationSeparator" w:id="0">
    <w:p w14:paraId="17453BE5" w14:textId="77777777" w:rsidR="008C5465" w:rsidRDefault="008C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381610"/>
      <w:docPartObj>
        <w:docPartGallery w:val="Page Numbers (Top of Page)"/>
        <w:docPartUnique/>
      </w:docPartObj>
    </w:sdtPr>
    <w:sdtEndPr>
      <w:rPr>
        <w:rFonts w:ascii="Trebuchet MS" w:hAnsi="Trebuchet MS"/>
        <w:noProof/>
      </w:rPr>
    </w:sdtEndPr>
    <w:sdtContent>
      <w:p w14:paraId="2DC1C8F0" w14:textId="1CA54C7C" w:rsidR="00DB2A47" w:rsidRPr="00DB2A47" w:rsidRDefault="00DB2A47" w:rsidP="00DB2A47">
        <w:pPr>
          <w:spacing w:before="720"/>
          <w:jc w:val="right"/>
          <w:rPr>
            <w:rFonts w:ascii="Trebuchet MS" w:eastAsia="Arial" w:hAnsi="Trebuchet MS" w:cs="Arial"/>
          </w:rPr>
        </w:pPr>
        <w:r w:rsidRPr="00DB2A47">
          <w:rPr>
            <w:rFonts w:ascii="Trebuchet MS" w:hAnsi="Trebuchet MS"/>
          </w:rPr>
          <w:fldChar w:fldCharType="begin"/>
        </w:r>
        <w:r w:rsidRPr="00DB2A47">
          <w:rPr>
            <w:rFonts w:ascii="Trebuchet MS" w:hAnsi="Trebuchet MS"/>
          </w:rPr>
          <w:instrText xml:space="preserve"> PAGE   \* MERGEFORMAT </w:instrText>
        </w:r>
        <w:r w:rsidRPr="00DB2A47">
          <w:rPr>
            <w:rFonts w:ascii="Trebuchet MS" w:hAnsi="Trebuchet MS"/>
          </w:rPr>
          <w:fldChar w:fldCharType="separate"/>
        </w:r>
        <w:r w:rsidRPr="00DB2A47">
          <w:rPr>
            <w:rFonts w:ascii="Trebuchet MS" w:hAnsi="Trebuchet MS"/>
            <w:noProof/>
          </w:rPr>
          <w:t>2</w:t>
        </w:r>
        <w:r w:rsidRPr="00DB2A47">
          <w:rPr>
            <w:rFonts w:ascii="Trebuchet MS" w:hAnsi="Trebuchet MS"/>
            <w:noProof/>
          </w:rPr>
          <w:fldChar w:fldCharType="end"/>
        </w:r>
        <w:r w:rsidRPr="00DB2A47">
          <w:rPr>
            <w:rFonts w:ascii="Trebuchet MS" w:eastAsia="Arial" w:hAnsi="Trebuchet MS" w:cs="Arial"/>
          </w:rPr>
          <w:t xml:space="preserve"> </w:t>
        </w:r>
        <w:r>
          <w:rPr>
            <w:rFonts w:ascii="Trebuchet MS" w:eastAsia="Arial" w:hAnsi="Trebuchet MS" w:cs="Arial"/>
          </w:rPr>
          <w:t xml:space="preserve">                                              </w:t>
        </w:r>
        <w:r w:rsidRPr="00DB2A47">
          <w:rPr>
            <w:rFonts w:ascii="Trebuchet MS" w:eastAsia="Arial" w:hAnsi="Trebuchet MS" w:cs="Arial"/>
          </w:rPr>
          <w:t xml:space="preserve">June </w:t>
        </w:r>
        <w:r w:rsidR="00F13491">
          <w:rPr>
            <w:rFonts w:ascii="Trebuchet MS" w:eastAsia="Arial" w:hAnsi="Trebuchet MS" w:cs="Arial"/>
          </w:rPr>
          <w:t>11</w:t>
        </w:r>
        <w:r w:rsidRPr="00DB2A47">
          <w:rPr>
            <w:rFonts w:ascii="Trebuchet MS" w:eastAsia="Arial" w:hAnsi="Trebuchet MS" w:cs="Arial"/>
          </w:rPr>
          <w:t>, 2025</w:t>
        </w:r>
      </w:p>
      <w:p w14:paraId="7E466265" w14:textId="77777777" w:rsidR="00DB2A47" w:rsidRP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Revision of Section 105</w:t>
        </w:r>
      </w:p>
      <w:p w14:paraId="1A43FFE2" w14:textId="5BA8C41A" w:rsidR="00DB2A47" w:rsidRPr="00DB2A47" w:rsidRDefault="00DB2A47" w:rsidP="00836EB9">
        <w:pPr>
          <w:jc w:val="center"/>
          <w:rPr>
            <w:rFonts w:ascii="Trebuchet MS" w:hAnsi="Trebuchet MS"/>
          </w:rPr>
        </w:pPr>
        <w:r w:rsidRPr="00DB2A47">
          <w:rPr>
            <w:rFonts w:ascii="Trebuchet MS" w:eastAsia="Arial" w:hAnsi="Trebuchet MS" w:cs="Arial"/>
            <w:b/>
            <w:bCs/>
            <w:sz w:val="28"/>
            <w:szCs w:val="28"/>
          </w:rPr>
          <w:t>Dispute Resolution</w:t>
        </w:r>
      </w:p>
    </w:sdtContent>
  </w:sdt>
  <w:p w14:paraId="3897AA98" w14:textId="77777777" w:rsidR="00DB2A47" w:rsidRPr="00DB2A47" w:rsidRDefault="00DB2A47" w:rsidP="00DB2A47">
    <w:pPr>
      <w:jc w:val="center"/>
      <w:rPr>
        <w:rFonts w:ascii="Trebuchet MS" w:hAnsi="Trebuchet MS"/>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B022" w14:textId="2D7025DF" w:rsidR="00DB2A47" w:rsidRPr="00DB2A47" w:rsidRDefault="00DB2A47" w:rsidP="00DB2A47">
    <w:pPr>
      <w:spacing w:before="720"/>
      <w:jc w:val="right"/>
      <w:rPr>
        <w:rFonts w:ascii="Trebuchet MS" w:eastAsia="Arial" w:hAnsi="Trebuchet MS" w:cs="Arial"/>
      </w:rPr>
    </w:pPr>
    <w:r>
      <w:tab/>
    </w:r>
    <w:r w:rsidRPr="00DB2A47">
      <w:rPr>
        <w:rFonts w:ascii="Trebuchet MS" w:eastAsia="Arial" w:hAnsi="Trebuchet MS" w:cs="Arial"/>
      </w:rPr>
      <w:t xml:space="preserve">June </w:t>
    </w:r>
    <w:r w:rsidR="00F13491">
      <w:rPr>
        <w:rFonts w:ascii="Trebuchet MS" w:eastAsia="Arial" w:hAnsi="Trebuchet MS" w:cs="Arial"/>
      </w:rPr>
      <w:t>11</w:t>
    </w:r>
    <w:r w:rsidRPr="00DB2A47">
      <w:rPr>
        <w:rFonts w:ascii="Trebuchet MS" w:eastAsia="Arial" w:hAnsi="Trebuchet MS" w:cs="Arial"/>
      </w:rPr>
      <w:t>, 2025</w:t>
    </w:r>
  </w:p>
  <w:p w14:paraId="3221E4F7" w14:textId="77777777" w:rsidR="00DB2A47" w:rsidRP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Revision of Section 105</w:t>
    </w:r>
  </w:p>
  <w:p w14:paraId="59599EB0" w14:textId="77777777" w:rsid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Dispute Resolution</w:t>
    </w:r>
  </w:p>
  <w:p w14:paraId="6B1EEFD7" w14:textId="5E29A04D" w:rsidR="00DB2A47" w:rsidRDefault="00DB2A47" w:rsidP="00DB2A47">
    <w:pPr>
      <w:pStyle w:val="Header"/>
      <w:tabs>
        <w:tab w:val="clear" w:pos="4680"/>
        <w:tab w:val="clear" w:pos="9360"/>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48D"/>
    <w:multiLevelType w:val="multilevel"/>
    <w:tmpl w:val="2B34CB40"/>
    <w:lvl w:ilvl="0">
      <w:start w:val="1"/>
      <w:numFmt w:val="decimal"/>
      <w:lvlText w:val="(%1)"/>
      <w:lvlJc w:val="left"/>
      <w:pPr>
        <w:ind w:left="792" w:hanging="432"/>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DBA5928"/>
    <w:multiLevelType w:val="multilevel"/>
    <w:tmpl w:val="174658B0"/>
    <w:lvl w:ilvl="0">
      <w:start w:val="3"/>
      <w:numFmt w:val="decimal"/>
      <w:lvlText w:val="%1."/>
      <w:lvlJc w:val="left"/>
      <w:pPr>
        <w:ind w:left="1080" w:hanging="360"/>
      </w:pPr>
      <w:rPr>
        <w:rFonts w:ascii="Trebuchet MS" w:eastAsia="Trebuchet MS" w:hAnsi="Trebuchet MS" w:cs="Trebuchet MS"/>
        <w:b w:val="0"/>
      </w:rPr>
    </w:lvl>
    <w:lvl w:ilvl="1">
      <w:start w:val="1"/>
      <w:numFmt w:val="decimal"/>
      <w:lvlText w:val="(%2)"/>
      <w:lvlJc w:val="left"/>
      <w:pPr>
        <w:ind w:left="1296" w:hanging="432"/>
      </w:pPr>
      <w:rPr>
        <w:rFonts w:ascii="Trebuchet MS" w:eastAsia="Trebuchet MS" w:hAnsi="Trebuchet MS" w:cs="Trebuchet MS"/>
      </w:rPr>
    </w:lvl>
    <w:lvl w:ilvl="2">
      <w:start w:val="1"/>
      <w:numFmt w:val="lowerRoman"/>
      <w:lvlText w:val="%3."/>
      <w:lvlJc w:val="right"/>
      <w:pPr>
        <w:ind w:left="2520" w:hanging="180"/>
      </w:pPr>
    </w:lvl>
    <w:lvl w:ilvl="3">
      <w:start w:val="2"/>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548139E"/>
    <w:multiLevelType w:val="multilevel"/>
    <w:tmpl w:val="6D585AD0"/>
    <w:lvl w:ilvl="0">
      <w:start w:val="1"/>
      <w:numFmt w:val="decimal"/>
      <w:lvlText w:val="(%1)"/>
      <w:lvlJc w:val="left"/>
      <w:pPr>
        <w:ind w:left="1440" w:hanging="360"/>
      </w:pPr>
      <w:rPr>
        <w:rFonts w:ascii="Trebuchet MS" w:eastAsia="Trebuchet MS" w:hAnsi="Trebuchet MS" w:cs="Trebuchet MS"/>
        <w:b w:val="0"/>
        <w:i w:val="0"/>
        <w:sz w:val="24"/>
        <w:szCs w:val="24"/>
      </w:rPr>
    </w:lvl>
    <w:lvl w:ilvl="1">
      <w:start w:val="1"/>
      <w:numFmt w:val="lowerLetter"/>
      <w:lvlText w:val="(%2)"/>
      <w:lvlJc w:val="left"/>
      <w:pPr>
        <w:ind w:left="2160" w:hanging="360"/>
      </w:pPr>
      <w:rPr>
        <w:b w:val="0"/>
        <w:i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B2C2587"/>
    <w:multiLevelType w:val="multilevel"/>
    <w:tmpl w:val="D8BC2A5E"/>
    <w:lvl w:ilvl="0">
      <w:start w:val="3"/>
      <w:numFmt w:val="lowerLetter"/>
      <w:lvlText w:val="(%1)"/>
      <w:lvlJc w:val="left"/>
      <w:pPr>
        <w:ind w:left="720" w:hanging="360"/>
      </w:pPr>
      <w:rPr>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F71026"/>
    <w:multiLevelType w:val="multilevel"/>
    <w:tmpl w:val="6F768286"/>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144B48"/>
    <w:multiLevelType w:val="multilevel"/>
    <w:tmpl w:val="8B8AA4D6"/>
    <w:lvl w:ilvl="0">
      <w:start w:val="6"/>
      <w:numFmt w:val="decimal"/>
      <w:lvlText w:val="%1."/>
      <w:lvlJc w:val="left"/>
      <w:pPr>
        <w:ind w:left="144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2C06DB"/>
    <w:multiLevelType w:val="multilevel"/>
    <w:tmpl w:val="42E6C73C"/>
    <w:lvl w:ilvl="0">
      <w:start w:val="3"/>
      <w:numFmt w:val="decimal"/>
      <w:lvlText w:val="%1."/>
      <w:lvlJc w:val="left"/>
      <w:pPr>
        <w:ind w:left="1080" w:hanging="360"/>
      </w:pPr>
      <w:rPr>
        <w:rFonts w:ascii="Times New Roman" w:eastAsia="Times New Roman" w:hAnsi="Times New Roman" w:cs="Times New Roman"/>
        <w:b w:val="0"/>
      </w:rPr>
    </w:lvl>
    <w:lvl w:ilvl="1">
      <w:start w:val="1"/>
      <w:numFmt w:val="decimal"/>
      <w:lvlText w:val="(%2)"/>
      <w:lvlJc w:val="left"/>
      <w:pPr>
        <w:ind w:left="1296" w:hanging="432"/>
      </w:pPr>
      <w:rPr>
        <w:rFonts w:ascii="Times New Roman" w:eastAsia="Times New Roman" w:hAnsi="Times New Roman" w:cs="Times New Roman"/>
      </w:rPr>
    </w:lvl>
    <w:lvl w:ilvl="2">
      <w:start w:val="1"/>
      <w:numFmt w:val="lowerRoman"/>
      <w:lvlText w:val="%3."/>
      <w:lvlJc w:val="right"/>
      <w:pPr>
        <w:ind w:left="2520" w:hanging="180"/>
      </w:pPr>
    </w:lvl>
    <w:lvl w:ilvl="3">
      <w:start w:val="2"/>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sz w:val="24"/>
        <w:szCs w:val="24"/>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34D6AE6"/>
    <w:multiLevelType w:val="multilevel"/>
    <w:tmpl w:val="AAD08230"/>
    <w:lvl w:ilvl="0">
      <w:start w:val="3"/>
      <w:numFmt w:val="lowerLetter"/>
      <w:lvlText w:val="(%1)"/>
      <w:lvlJc w:val="left"/>
      <w:pPr>
        <w:ind w:left="81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5E2CB6"/>
    <w:multiLevelType w:val="multilevel"/>
    <w:tmpl w:val="E086FE9A"/>
    <w:lvl w:ilvl="0">
      <w:start w:val="1"/>
      <w:numFmt w:val="decimal"/>
      <w:lvlText w:val="%1."/>
      <w:lvlJc w:val="left"/>
      <w:pPr>
        <w:ind w:left="144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F297AE8"/>
    <w:multiLevelType w:val="multilevel"/>
    <w:tmpl w:val="CED4572C"/>
    <w:lvl w:ilvl="0">
      <w:start w:val="1"/>
      <w:numFmt w:val="decimal"/>
      <w:lvlText w:val="%1."/>
      <w:lvlJc w:val="left"/>
      <w:pPr>
        <w:ind w:left="1080" w:hanging="360"/>
      </w:pPr>
      <w:rPr>
        <w:rFonts w:ascii="Trebuchet MS" w:eastAsia="Trebuchet MS" w:hAnsi="Trebuchet MS" w:cs="Trebuchet MS"/>
        <w:b w:val="0"/>
      </w:rPr>
    </w:lvl>
    <w:lvl w:ilvl="1">
      <w:start w:val="1"/>
      <w:numFmt w:val="decimal"/>
      <w:lvlText w:val="(%2)"/>
      <w:lvlJc w:val="left"/>
      <w:pPr>
        <w:ind w:left="5022" w:hanging="432"/>
      </w:pPr>
      <w:rPr>
        <w:rFonts w:ascii="Trebuchet MS" w:eastAsia="Trebuchet MS" w:hAnsi="Trebuchet MS" w:cs="Trebuchet M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46E18FD"/>
    <w:multiLevelType w:val="multilevel"/>
    <w:tmpl w:val="9468C7CE"/>
    <w:lvl w:ilvl="0">
      <w:start w:val="6"/>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7C4E3F"/>
    <w:multiLevelType w:val="multilevel"/>
    <w:tmpl w:val="15108FA8"/>
    <w:lvl w:ilvl="0">
      <w:start w:val="1"/>
      <w:numFmt w:val="decimal"/>
      <w:lvlText w:val="%1."/>
      <w:lvlJc w:val="left"/>
      <w:pPr>
        <w:ind w:left="720" w:hanging="360"/>
      </w:pPr>
      <w:rPr>
        <w:b w:val="0"/>
        <w:i w:val="0"/>
        <w:sz w:val="22"/>
        <w:szCs w:val="22"/>
      </w:rPr>
    </w:lvl>
    <w:lvl w:ilvl="1">
      <w:start w:val="1"/>
      <w:numFmt w:val="upperLetter"/>
      <w:lvlText w:val="%2."/>
      <w:lvlJc w:val="left"/>
      <w:pPr>
        <w:ind w:left="1153" w:hanging="360"/>
      </w:pPr>
      <w:rPr>
        <w:rFonts w:ascii="Trebuchet MS" w:eastAsia="Trebuchet MS" w:hAnsi="Trebuchet MS" w:cs="Trebuchet MS"/>
        <w:b w:val="0"/>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321699"/>
    <w:multiLevelType w:val="multilevel"/>
    <w:tmpl w:val="32BEF892"/>
    <w:lvl w:ilvl="0">
      <w:start w:val="2"/>
      <w:numFmt w:val="lowerLetter"/>
      <w:lvlText w:val="(%1)"/>
      <w:lvlJc w:val="left"/>
      <w:pPr>
        <w:ind w:left="360" w:hanging="360"/>
      </w:pPr>
      <w:rPr>
        <w:b w:val="0"/>
        <w:i/>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2C17341"/>
    <w:multiLevelType w:val="multilevel"/>
    <w:tmpl w:val="A2180918"/>
    <w:lvl w:ilvl="0">
      <w:start w:val="2"/>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027C2A"/>
    <w:multiLevelType w:val="multilevel"/>
    <w:tmpl w:val="481E35B2"/>
    <w:lvl w:ilvl="0">
      <w:start w:val="1"/>
      <w:numFmt w:val="lowerLetter"/>
      <w:lvlText w:val="(%1)"/>
      <w:lvlJc w:val="left"/>
      <w:pPr>
        <w:ind w:left="1094" w:hanging="360"/>
      </w:pPr>
      <w:rPr>
        <w:i/>
      </w:rPr>
    </w:lvl>
    <w:lvl w:ilvl="1">
      <w:start w:val="5"/>
      <w:numFmt w:val="decimal"/>
      <w:lvlText w:val="%2."/>
      <w:lvlJc w:val="left"/>
      <w:pPr>
        <w:ind w:left="1080" w:hanging="360"/>
      </w:pPr>
      <w:rPr>
        <w:rFonts w:ascii="Trebuchet MS" w:eastAsia="Trebuchet MS" w:hAnsi="Trebuchet MS" w:cs="Trebuchet MS"/>
        <w:b w:val="0"/>
        <w:i w:val="0"/>
        <w:strike w:val="0"/>
        <w:color w:val="000000"/>
        <w:sz w:val="24"/>
        <w:szCs w:val="24"/>
        <w:u w:val="none"/>
        <w:shd w:val="clear" w:color="auto" w:fill="auto"/>
        <w:vertAlign w:val="baseline"/>
      </w:rPr>
    </w:lvl>
    <w:lvl w:ilvl="2">
      <w:start w:val="1"/>
      <w:numFmt w:val="lowerRoman"/>
      <w:lvlText w:val="%3."/>
      <w:lvlJc w:val="right"/>
      <w:pPr>
        <w:ind w:left="2534" w:hanging="180"/>
      </w:pPr>
    </w:lvl>
    <w:lvl w:ilvl="3">
      <w:start w:val="1"/>
      <w:numFmt w:val="decimal"/>
      <w:lvlText w:val="%4."/>
      <w:lvlJc w:val="left"/>
      <w:pPr>
        <w:ind w:left="3254" w:hanging="360"/>
      </w:pPr>
    </w:lvl>
    <w:lvl w:ilvl="4">
      <w:start w:val="1"/>
      <w:numFmt w:val="lowerLetter"/>
      <w:lvlText w:val="%5."/>
      <w:lvlJc w:val="left"/>
      <w:pPr>
        <w:ind w:left="3974" w:hanging="360"/>
      </w:pPr>
    </w:lvl>
    <w:lvl w:ilvl="5">
      <w:start w:val="1"/>
      <w:numFmt w:val="lowerRoman"/>
      <w:lvlText w:val="%6."/>
      <w:lvlJc w:val="right"/>
      <w:pPr>
        <w:ind w:left="4694" w:hanging="180"/>
      </w:pPr>
    </w:lvl>
    <w:lvl w:ilvl="6">
      <w:start w:val="1"/>
      <w:numFmt w:val="decimal"/>
      <w:lvlText w:val="%7."/>
      <w:lvlJc w:val="left"/>
      <w:pPr>
        <w:ind w:left="5414" w:hanging="360"/>
      </w:pPr>
    </w:lvl>
    <w:lvl w:ilvl="7">
      <w:start w:val="1"/>
      <w:numFmt w:val="lowerLetter"/>
      <w:lvlText w:val="%8."/>
      <w:lvlJc w:val="left"/>
      <w:pPr>
        <w:ind w:left="6134" w:hanging="360"/>
      </w:pPr>
    </w:lvl>
    <w:lvl w:ilvl="8">
      <w:start w:val="1"/>
      <w:numFmt w:val="lowerRoman"/>
      <w:lvlText w:val="%9."/>
      <w:lvlJc w:val="right"/>
      <w:pPr>
        <w:ind w:left="6854" w:hanging="180"/>
      </w:pPr>
    </w:lvl>
  </w:abstractNum>
  <w:abstractNum w:abstractNumId="15" w15:restartNumberingAfterBreak="0">
    <w:nsid w:val="58C41D5E"/>
    <w:multiLevelType w:val="multilevel"/>
    <w:tmpl w:val="885835EE"/>
    <w:lvl w:ilvl="0">
      <w:start w:val="1"/>
      <w:numFmt w:val="lowerLetter"/>
      <w:lvlText w:val="(%1)"/>
      <w:lvlJc w:val="left"/>
      <w:pPr>
        <w:ind w:left="36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797F4C"/>
    <w:multiLevelType w:val="multilevel"/>
    <w:tmpl w:val="93B4F4BA"/>
    <w:lvl w:ilvl="0">
      <w:start w:val="2"/>
      <w:numFmt w:val="decimal"/>
      <w:lvlText w:val="%1."/>
      <w:lvlJc w:val="left"/>
      <w:pPr>
        <w:ind w:left="720" w:hanging="360"/>
      </w:pPr>
      <w:rPr>
        <w:i w:val="0"/>
        <w:color w:val="C00000"/>
      </w:rPr>
    </w:lvl>
    <w:lvl w:ilvl="1">
      <w:start w:val="1"/>
      <w:numFmt w:val="decimal"/>
      <w:lvlText w:val="(%2)"/>
      <w:lvlJc w:val="left"/>
      <w:pPr>
        <w:ind w:left="1440" w:hanging="360"/>
      </w:pPr>
    </w:lvl>
    <w:lvl w:ilvl="2">
      <w:start w:val="1"/>
      <w:numFmt w:val="lowerLetter"/>
      <w:lvlText w:val="(%3)"/>
      <w:lvlJc w:val="left"/>
      <w:pPr>
        <w:ind w:left="960" w:hanging="360"/>
      </w:pPr>
      <w:rPr>
        <w: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9C15F8"/>
    <w:multiLevelType w:val="multilevel"/>
    <w:tmpl w:val="E0EA0D58"/>
    <w:lvl w:ilvl="0">
      <w:start w:val="1"/>
      <w:numFmt w:val="decimal"/>
      <w:lvlText w:val="(%1)"/>
      <w:lvlJc w:val="left"/>
      <w:pPr>
        <w:ind w:left="1080" w:hanging="360"/>
      </w:pPr>
      <w:rPr>
        <w:rFonts w:ascii="Trebuchet MS" w:eastAsia="Trebuchet MS" w:hAnsi="Trebuchet MS" w:cs="Trebuchet MS"/>
        <w:b w:val="0"/>
        <w:i w:val="0"/>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9F2E03"/>
    <w:multiLevelType w:val="multilevel"/>
    <w:tmpl w:val="D4C05EEA"/>
    <w:lvl w:ilvl="0">
      <w:start w:val="4"/>
      <w:numFmt w:val="decimal"/>
      <w:lvlText w:val="%1."/>
      <w:lvlJc w:val="left"/>
      <w:pPr>
        <w:ind w:left="720" w:hanging="360"/>
      </w:p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19" w15:restartNumberingAfterBreak="0">
    <w:nsid w:val="67770CA6"/>
    <w:multiLevelType w:val="multilevel"/>
    <w:tmpl w:val="E068A7DA"/>
    <w:lvl w:ilvl="0">
      <w:start w:val="1"/>
      <w:numFmt w:val="lowerLetter"/>
      <w:lvlText w:val="(%1)"/>
      <w:lvlJc w:val="left"/>
      <w:pPr>
        <w:ind w:left="720" w:hanging="360"/>
      </w:pPr>
      <w:rPr>
        <w:b w:val="0"/>
        <w:i w:val="0"/>
      </w:rPr>
    </w:lvl>
    <w:lvl w:ilvl="1">
      <w:start w:val="1"/>
      <w:numFmt w:val="decimal"/>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C37B7C"/>
    <w:multiLevelType w:val="multilevel"/>
    <w:tmpl w:val="0B0AEDDE"/>
    <w:lvl w:ilvl="0">
      <w:start w:val="1"/>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CE564B"/>
    <w:multiLevelType w:val="multilevel"/>
    <w:tmpl w:val="6C520AE2"/>
    <w:lvl w:ilvl="0">
      <w:start w:val="1"/>
      <w:numFmt w:val="decimal"/>
      <w:lvlText w:val="(%1)"/>
      <w:lvlJc w:val="left"/>
      <w:pPr>
        <w:ind w:left="1440" w:hanging="360"/>
      </w:pPr>
      <w:rPr>
        <w:rFonts w:ascii="Trebuchet MS" w:eastAsia="Trebuchet MS" w:hAnsi="Trebuchet MS" w:cs="Trebuchet MS"/>
        <w:b w:val="0"/>
        <w:i w:val="0"/>
        <w:color w:val="0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765C664C"/>
    <w:multiLevelType w:val="multilevel"/>
    <w:tmpl w:val="9A7CF520"/>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4242E0"/>
    <w:multiLevelType w:val="multilevel"/>
    <w:tmpl w:val="80442C8C"/>
    <w:lvl w:ilvl="0">
      <w:start w:val="1"/>
      <w:numFmt w:val="decimal"/>
      <w:lvlText w:val="%1."/>
      <w:lvlJc w:val="left"/>
      <w:pPr>
        <w:ind w:left="792" w:hanging="360"/>
      </w:pPr>
    </w:lvl>
    <w:lvl w:ilvl="1">
      <w:start w:val="1"/>
      <w:numFmt w:val="upp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4" w15:restartNumberingAfterBreak="0">
    <w:nsid w:val="7CB92343"/>
    <w:multiLevelType w:val="multilevel"/>
    <w:tmpl w:val="D840CE12"/>
    <w:lvl w:ilvl="0">
      <w:start w:val="1"/>
      <w:numFmt w:val="decimal"/>
      <w:lvlText w:val="%1."/>
      <w:lvlJc w:val="left"/>
      <w:pPr>
        <w:ind w:left="720" w:hanging="360"/>
      </w:pPr>
      <w:rPr>
        <w:i w:val="0"/>
        <w:color w:val="C00000"/>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0549B1"/>
    <w:multiLevelType w:val="multilevel"/>
    <w:tmpl w:val="B7D2A25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797987463">
    <w:abstractNumId w:val="9"/>
  </w:num>
  <w:num w:numId="2" w16cid:durableId="465050474">
    <w:abstractNumId w:val="20"/>
  </w:num>
  <w:num w:numId="3" w16cid:durableId="778840790">
    <w:abstractNumId w:val="14"/>
  </w:num>
  <w:num w:numId="4" w16cid:durableId="1663115845">
    <w:abstractNumId w:val="6"/>
  </w:num>
  <w:num w:numId="5" w16cid:durableId="417406449">
    <w:abstractNumId w:val="23"/>
  </w:num>
  <w:num w:numId="6" w16cid:durableId="569772634">
    <w:abstractNumId w:val="19"/>
  </w:num>
  <w:num w:numId="7" w16cid:durableId="605424033">
    <w:abstractNumId w:val="24"/>
  </w:num>
  <w:num w:numId="8" w16cid:durableId="619729333">
    <w:abstractNumId w:val="4"/>
  </w:num>
  <w:num w:numId="9" w16cid:durableId="748044193">
    <w:abstractNumId w:val="22"/>
  </w:num>
  <w:num w:numId="10" w16cid:durableId="1199006589">
    <w:abstractNumId w:val="16"/>
  </w:num>
  <w:num w:numId="11" w16cid:durableId="1082606795">
    <w:abstractNumId w:val="1"/>
  </w:num>
  <w:num w:numId="12" w16cid:durableId="1666086017">
    <w:abstractNumId w:val="10"/>
  </w:num>
  <w:num w:numId="13" w16cid:durableId="535460430">
    <w:abstractNumId w:val="2"/>
  </w:num>
  <w:num w:numId="14" w16cid:durableId="148601110">
    <w:abstractNumId w:val="3"/>
  </w:num>
  <w:num w:numId="15" w16cid:durableId="1813323331">
    <w:abstractNumId w:val="12"/>
  </w:num>
  <w:num w:numId="16" w16cid:durableId="1384479331">
    <w:abstractNumId w:val="18"/>
  </w:num>
  <w:num w:numId="17" w16cid:durableId="1230573026">
    <w:abstractNumId w:val="11"/>
  </w:num>
  <w:num w:numId="18" w16cid:durableId="1403336168">
    <w:abstractNumId w:val="17"/>
  </w:num>
  <w:num w:numId="19" w16cid:durableId="495657963">
    <w:abstractNumId w:val="7"/>
  </w:num>
  <w:num w:numId="20" w16cid:durableId="1168985751">
    <w:abstractNumId w:val="0"/>
  </w:num>
  <w:num w:numId="21" w16cid:durableId="1666975872">
    <w:abstractNumId w:val="21"/>
  </w:num>
  <w:num w:numId="22" w16cid:durableId="1665625949">
    <w:abstractNumId w:val="13"/>
  </w:num>
  <w:num w:numId="23" w16cid:durableId="2101172217">
    <w:abstractNumId w:val="5"/>
  </w:num>
  <w:num w:numId="24" w16cid:durableId="1896813446">
    <w:abstractNumId w:val="15"/>
  </w:num>
  <w:num w:numId="25" w16cid:durableId="1687560621">
    <w:abstractNumId w:val="8"/>
  </w:num>
  <w:num w:numId="26" w16cid:durableId="290399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A9"/>
    <w:rsid w:val="00154B3B"/>
    <w:rsid w:val="001F4399"/>
    <w:rsid w:val="00210B72"/>
    <w:rsid w:val="003313FA"/>
    <w:rsid w:val="003F433C"/>
    <w:rsid w:val="004B0DE9"/>
    <w:rsid w:val="007F2D2F"/>
    <w:rsid w:val="00801056"/>
    <w:rsid w:val="00812019"/>
    <w:rsid w:val="00836EB9"/>
    <w:rsid w:val="00844BDE"/>
    <w:rsid w:val="008A3DA9"/>
    <w:rsid w:val="008C5465"/>
    <w:rsid w:val="008E55B3"/>
    <w:rsid w:val="00AC5CC7"/>
    <w:rsid w:val="00B47224"/>
    <w:rsid w:val="00B576B5"/>
    <w:rsid w:val="00C06FF7"/>
    <w:rsid w:val="00C85B91"/>
    <w:rsid w:val="00CB0E7D"/>
    <w:rsid w:val="00DB2A47"/>
    <w:rsid w:val="00EE53C0"/>
    <w:rsid w:val="00F1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559F"/>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427"/>
    <w:pPr>
      <w:autoSpaceDE w:val="0"/>
      <w:autoSpaceDN w:val="0"/>
    </w:pPr>
    <w:rPr>
      <w:rFonts w:eastAsia="Times New Roman"/>
    </w:rPr>
  </w:style>
  <w:style w:type="paragraph" w:styleId="Heading1">
    <w:name w:val="heading 1"/>
    <w:basedOn w:val="Normal"/>
    <w:next w:val="Normal"/>
    <w:link w:val="Heading1Char"/>
    <w:uiPriority w:val="9"/>
    <w:qFormat/>
    <w:rsid w:val="00D13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4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3427"/>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3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427"/>
    <w:rPr>
      <w:rFonts w:eastAsiaTheme="majorEastAsia" w:cstheme="majorBidi"/>
      <w:color w:val="272727" w:themeColor="text1" w:themeTint="D8"/>
    </w:rPr>
  </w:style>
  <w:style w:type="character" w:customStyle="1" w:styleId="TitleChar">
    <w:name w:val="Title Char"/>
    <w:basedOn w:val="DefaultParagraphFont"/>
    <w:link w:val="Title"/>
    <w:uiPriority w:val="10"/>
    <w:rsid w:val="00D13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13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427"/>
    <w:pPr>
      <w:spacing w:before="160"/>
      <w:jc w:val="center"/>
    </w:pPr>
    <w:rPr>
      <w:i/>
      <w:iCs/>
      <w:color w:val="404040" w:themeColor="text1" w:themeTint="BF"/>
    </w:rPr>
  </w:style>
  <w:style w:type="character" w:customStyle="1" w:styleId="QuoteChar">
    <w:name w:val="Quote Char"/>
    <w:basedOn w:val="DefaultParagraphFont"/>
    <w:link w:val="Quote"/>
    <w:uiPriority w:val="29"/>
    <w:rsid w:val="00D13427"/>
    <w:rPr>
      <w:i/>
      <w:iCs/>
      <w:color w:val="404040" w:themeColor="text1" w:themeTint="BF"/>
    </w:rPr>
  </w:style>
  <w:style w:type="paragraph" w:styleId="ListParagraph">
    <w:name w:val="List Paragraph"/>
    <w:basedOn w:val="Normal"/>
    <w:qFormat/>
    <w:rsid w:val="00D13427"/>
    <w:pPr>
      <w:ind w:left="720"/>
      <w:contextualSpacing/>
    </w:pPr>
  </w:style>
  <w:style w:type="character" w:styleId="IntenseEmphasis">
    <w:name w:val="Intense Emphasis"/>
    <w:basedOn w:val="DefaultParagraphFont"/>
    <w:uiPriority w:val="21"/>
    <w:qFormat/>
    <w:rsid w:val="00D13427"/>
    <w:rPr>
      <w:i/>
      <w:iCs/>
      <w:color w:val="0F4761" w:themeColor="accent1" w:themeShade="BF"/>
    </w:rPr>
  </w:style>
  <w:style w:type="paragraph" w:styleId="IntenseQuote">
    <w:name w:val="Intense Quote"/>
    <w:basedOn w:val="Normal"/>
    <w:next w:val="Normal"/>
    <w:link w:val="IntenseQuoteChar"/>
    <w:uiPriority w:val="30"/>
    <w:qFormat/>
    <w:rsid w:val="00D13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427"/>
    <w:rPr>
      <w:i/>
      <w:iCs/>
      <w:color w:val="0F4761" w:themeColor="accent1" w:themeShade="BF"/>
    </w:rPr>
  </w:style>
  <w:style w:type="character" w:styleId="IntenseReference">
    <w:name w:val="Intense Reference"/>
    <w:basedOn w:val="DefaultParagraphFont"/>
    <w:uiPriority w:val="32"/>
    <w:qFormat/>
    <w:rsid w:val="00D13427"/>
    <w:rPr>
      <w:b/>
      <w:bCs/>
      <w:smallCaps/>
      <w:color w:val="0F4761" w:themeColor="accent1" w:themeShade="BF"/>
      <w:spacing w:val="5"/>
    </w:rPr>
  </w:style>
  <w:style w:type="paragraph" w:customStyle="1" w:styleId="SubsectionHead">
    <w:name w:val="Subsection Head"/>
    <w:basedOn w:val="BodyText"/>
    <w:qFormat/>
    <w:rsid w:val="00D13427"/>
    <w:pPr>
      <w:spacing w:after="200" w:line="247" w:lineRule="auto"/>
    </w:pPr>
    <w:rPr>
      <w:rFonts w:ascii="Times New Roman" w:hAnsi="Times New Roman"/>
      <w:b/>
      <w:kern w:val="2"/>
      <w:sz w:val="20"/>
      <w:szCs w:val="22"/>
    </w:rPr>
  </w:style>
  <w:style w:type="paragraph" w:customStyle="1" w:styleId="Default">
    <w:name w:val="Default"/>
    <w:rsid w:val="00D13427"/>
    <w:pPr>
      <w:autoSpaceDE w:val="0"/>
      <w:autoSpaceDN w:val="0"/>
      <w:adjustRightInd w:val="0"/>
    </w:pPr>
    <w:rPr>
      <w:rFonts w:ascii="TimesNewRomanPS" w:eastAsia="Times New Roman" w:hAnsi="TimesNewRomanPS" w:cs="TimesNewRomanPS"/>
      <w:color w:val="000000"/>
    </w:rPr>
  </w:style>
  <w:style w:type="paragraph" w:styleId="BodyText">
    <w:name w:val="Body Text"/>
    <w:basedOn w:val="Normal"/>
    <w:link w:val="BodyTextChar"/>
    <w:uiPriority w:val="99"/>
    <w:semiHidden/>
    <w:unhideWhenUsed/>
    <w:rsid w:val="00D13427"/>
    <w:pPr>
      <w:spacing w:after="120"/>
    </w:pPr>
  </w:style>
  <w:style w:type="character" w:customStyle="1" w:styleId="BodyTextChar">
    <w:name w:val="Body Text Char"/>
    <w:basedOn w:val="DefaultParagraphFont"/>
    <w:link w:val="BodyText"/>
    <w:uiPriority w:val="99"/>
    <w:semiHidden/>
    <w:rsid w:val="00D13427"/>
    <w:rPr>
      <w:rFonts w:ascii="Courier" w:eastAsia="Times New Roman" w:hAnsi="Courier" w:cs="Courier"/>
      <w:kern w:val="0"/>
    </w:rPr>
  </w:style>
  <w:style w:type="paragraph" w:styleId="Revision">
    <w:name w:val="Revision"/>
    <w:hidden/>
    <w:uiPriority w:val="99"/>
    <w:semiHidden/>
    <w:rsid w:val="00381FCA"/>
    <w:rPr>
      <w:rFonts w:eastAsia="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DB2A47"/>
    <w:pPr>
      <w:widowControl/>
      <w:autoSpaceDE/>
      <w:autoSpaceDN/>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DB2A47"/>
    <w:rPr>
      <w:i/>
      <w:iCs/>
    </w:rPr>
  </w:style>
  <w:style w:type="paragraph" w:styleId="Header">
    <w:name w:val="header"/>
    <w:basedOn w:val="Normal"/>
    <w:link w:val="HeaderChar"/>
    <w:uiPriority w:val="99"/>
    <w:unhideWhenUsed/>
    <w:rsid w:val="00DB2A47"/>
    <w:pPr>
      <w:tabs>
        <w:tab w:val="center" w:pos="4680"/>
        <w:tab w:val="right" w:pos="9360"/>
      </w:tabs>
    </w:pPr>
  </w:style>
  <w:style w:type="character" w:customStyle="1" w:styleId="HeaderChar">
    <w:name w:val="Header Char"/>
    <w:basedOn w:val="DefaultParagraphFont"/>
    <w:link w:val="Header"/>
    <w:uiPriority w:val="99"/>
    <w:rsid w:val="00DB2A47"/>
    <w:rPr>
      <w:rFonts w:eastAsia="Times New Roman"/>
    </w:rPr>
  </w:style>
  <w:style w:type="paragraph" w:styleId="Footer">
    <w:name w:val="footer"/>
    <w:basedOn w:val="Normal"/>
    <w:link w:val="FooterChar"/>
    <w:uiPriority w:val="99"/>
    <w:unhideWhenUsed/>
    <w:rsid w:val="00DB2A47"/>
    <w:pPr>
      <w:tabs>
        <w:tab w:val="center" w:pos="4680"/>
        <w:tab w:val="right" w:pos="9360"/>
      </w:tabs>
    </w:pPr>
  </w:style>
  <w:style w:type="character" w:customStyle="1" w:styleId="FooterChar">
    <w:name w:val="Footer Char"/>
    <w:basedOn w:val="DefaultParagraphFont"/>
    <w:link w:val="Footer"/>
    <w:uiPriority w:val="99"/>
    <w:rsid w:val="00DB2A47"/>
    <w:rPr>
      <w:rFonts w:eastAsia="Times New Roman"/>
    </w:rPr>
  </w:style>
  <w:style w:type="paragraph" w:styleId="CommentSubject">
    <w:name w:val="annotation subject"/>
    <w:basedOn w:val="CommentText"/>
    <w:next w:val="CommentText"/>
    <w:link w:val="CommentSubjectChar"/>
    <w:uiPriority w:val="99"/>
    <w:semiHidden/>
    <w:unhideWhenUsed/>
    <w:rsid w:val="00C06FF7"/>
    <w:rPr>
      <w:b/>
      <w:bCs/>
    </w:rPr>
  </w:style>
  <w:style w:type="character" w:customStyle="1" w:styleId="CommentSubjectChar">
    <w:name w:val="Comment Subject Char"/>
    <w:basedOn w:val="CommentTextChar"/>
    <w:link w:val="CommentSubject"/>
    <w:uiPriority w:val="99"/>
    <w:semiHidden/>
    <w:rsid w:val="00C06FF7"/>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WWRcR9PvszntjEcfSSCynkhTEg==">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8510</Words>
  <Characters>48511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Kayen, Michele</dc:creator>
  <cp:lastModifiedBy>Kayen, Michele</cp:lastModifiedBy>
  <cp:revision>2</cp:revision>
  <dcterms:created xsi:type="dcterms:W3CDTF">2025-06-12T17:02:00Z</dcterms:created>
  <dcterms:modified xsi:type="dcterms:W3CDTF">2025-06-12T17:02:00Z</dcterms:modified>
</cp:coreProperties>
</file>