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A66FA" w14:textId="07449957" w:rsidR="00B03953" w:rsidRDefault="00000000" w:rsidP="00734862">
      <w:pPr>
        <w:pStyle w:val="Heading1"/>
        <w:rPr>
          <w:sz w:val="24"/>
          <w:szCs w:val="24"/>
        </w:rPr>
      </w:pPr>
      <w:r>
        <w:t>Revision of Section 630</w:t>
      </w:r>
      <w:r w:rsidR="00734862">
        <w:br/>
      </w:r>
      <w:r>
        <w:t>Audible Warning Device</w:t>
      </w:r>
    </w:p>
    <w:p w14:paraId="7A9D47CE" w14:textId="77777777" w:rsidR="00B03953" w:rsidRDefault="00000000" w:rsidP="00734862">
      <w:pPr>
        <w:widowControl w:val="0"/>
        <w:spacing w:before="240" w:after="240"/>
        <w:rPr>
          <w:rFonts w:ascii="Trebuchet MS" w:eastAsia="Trebuchet MS" w:hAnsi="Trebuchet MS" w:cs="Trebuchet MS"/>
          <w:b/>
          <w:sz w:val="24"/>
          <w:szCs w:val="24"/>
        </w:rPr>
      </w:pPr>
      <w:r>
        <w:rPr>
          <w:rFonts w:ascii="Trebuchet MS" w:eastAsia="Trebuchet MS" w:hAnsi="Trebuchet MS" w:cs="Trebuchet MS"/>
          <w:b/>
          <w:sz w:val="24"/>
          <w:szCs w:val="24"/>
        </w:rPr>
        <w:t>Revise Section 630 of the Standard Specifications for this project as follows:</w:t>
      </w:r>
    </w:p>
    <w:p w14:paraId="7ED89282" w14:textId="77777777" w:rsidR="00B03953" w:rsidRDefault="00000000" w:rsidP="00734862">
      <w:pPr>
        <w:pStyle w:val="Heading2"/>
      </w:pPr>
      <w:r>
        <w:t>Subsection 630.01 shall include the following:</w:t>
      </w:r>
    </w:p>
    <w:p w14:paraId="55797BFD" w14:textId="77777777" w:rsidR="00B03953" w:rsidRDefault="00000000">
      <w:pPr>
        <w:widowControl w:val="0"/>
        <w:spacing w:after="240"/>
        <w:rPr>
          <w:rFonts w:ascii="Trebuchet MS" w:eastAsia="Trebuchet MS" w:hAnsi="Trebuchet MS" w:cs="Trebuchet MS"/>
          <w:sz w:val="24"/>
          <w:szCs w:val="24"/>
        </w:rPr>
      </w:pPr>
      <w:r>
        <w:rPr>
          <w:rFonts w:ascii="Trebuchet MS" w:eastAsia="Trebuchet MS" w:hAnsi="Trebuchet MS" w:cs="Trebuchet MS"/>
          <w:sz w:val="24"/>
          <w:szCs w:val="24"/>
        </w:rPr>
        <w:t>This work consists of the construction of a temporary audible warning device which is fully ADA compliant with current PROWAG guidelines at locations as shown on the plans and CDOT Standard DS-630-1a.</w:t>
      </w:r>
    </w:p>
    <w:p w14:paraId="30966F01" w14:textId="77777777" w:rsidR="00B03953" w:rsidRDefault="00000000" w:rsidP="00734862">
      <w:pPr>
        <w:pStyle w:val="Heading2"/>
      </w:pPr>
      <w:r>
        <w:t>Subsection 630.09 shall include the following:</w:t>
      </w:r>
    </w:p>
    <w:p w14:paraId="162D47E4" w14:textId="77777777" w:rsidR="00B03953" w:rsidRDefault="00000000">
      <w:pPr>
        <w:widowControl w:val="0"/>
        <w:spacing w:after="240"/>
        <w:rPr>
          <w:rFonts w:ascii="Trebuchet MS" w:eastAsia="Trebuchet MS" w:hAnsi="Trebuchet MS" w:cs="Trebuchet MS"/>
          <w:sz w:val="24"/>
          <w:szCs w:val="24"/>
        </w:rPr>
      </w:pPr>
      <w:r>
        <w:rPr>
          <w:rFonts w:ascii="Trebuchet MS" w:eastAsia="Trebuchet MS" w:hAnsi="Trebuchet MS" w:cs="Trebuchet MS"/>
          <w:sz w:val="24"/>
          <w:szCs w:val="24"/>
        </w:rPr>
        <w:t>The Audible Warning Device shall be a proximity-activated audible sign that provides notice of a detour route or other applicable details required for pedestrians with visual impairments to safely navigate the work zone.</w:t>
      </w:r>
    </w:p>
    <w:p w14:paraId="622BB717" w14:textId="77777777" w:rsidR="00B03953" w:rsidRDefault="00000000">
      <w:pPr>
        <w:widowControl w:val="0"/>
        <w:spacing w:after="240"/>
        <w:rPr>
          <w:rFonts w:ascii="Trebuchet MS" w:eastAsia="Trebuchet MS" w:hAnsi="Trebuchet MS" w:cs="Trebuchet MS"/>
          <w:sz w:val="24"/>
          <w:szCs w:val="24"/>
        </w:rPr>
      </w:pPr>
      <w:r>
        <w:rPr>
          <w:rFonts w:ascii="Trebuchet MS" w:eastAsia="Trebuchet MS" w:hAnsi="Trebuchet MS" w:cs="Trebuchet MS"/>
          <w:sz w:val="24"/>
          <w:szCs w:val="24"/>
        </w:rPr>
        <w:t>Audible Warning Device volume should be set to a maximum of 5 A-weighted decibels (dBA) louder than ambient sound. Automatic volume adjustment in response to ambient traffic sound levels shall be provided up to a maximum volume of 100 dBA.</w:t>
      </w:r>
    </w:p>
    <w:p w14:paraId="421BCF36" w14:textId="77777777" w:rsidR="00B03953" w:rsidRDefault="00000000">
      <w:pPr>
        <w:widowControl w:val="0"/>
        <w:spacing w:after="240"/>
        <w:rPr>
          <w:rFonts w:ascii="Trebuchet MS" w:eastAsia="Trebuchet MS" w:hAnsi="Trebuchet MS" w:cs="Trebuchet MS"/>
          <w:sz w:val="24"/>
          <w:szCs w:val="24"/>
        </w:rPr>
      </w:pPr>
      <w:r>
        <w:rPr>
          <w:rFonts w:ascii="Trebuchet MS" w:eastAsia="Trebuchet MS" w:hAnsi="Trebuchet MS" w:cs="Trebuchet MS"/>
          <w:sz w:val="24"/>
          <w:szCs w:val="24"/>
        </w:rPr>
        <w:t xml:space="preserve">When used, an Audible Warning Device message shall provide a complete physical description of the temporary pedestrian bypass including duration, length of (and/or distance to) the bypass, any restrictions/hazards, and project contact information. The warning device(s) may also describe an alternate route. The number and location of devices shall be determined and approved by the Project Engineer for each project prior to starting work. Devices may be placed prior to sidewalk work to warn regular users of the planned work. </w:t>
      </w:r>
    </w:p>
    <w:p w14:paraId="3FE92D00" w14:textId="77777777" w:rsidR="00B03953" w:rsidRDefault="00000000">
      <w:pPr>
        <w:widowControl w:val="0"/>
        <w:spacing w:after="240"/>
        <w:rPr>
          <w:rFonts w:ascii="Trebuchet MS" w:eastAsia="Trebuchet MS" w:hAnsi="Trebuchet MS" w:cs="Trebuchet MS"/>
          <w:sz w:val="24"/>
          <w:szCs w:val="24"/>
        </w:rPr>
      </w:pPr>
      <w:r>
        <w:rPr>
          <w:rFonts w:ascii="Trebuchet MS" w:eastAsia="Trebuchet MS" w:hAnsi="Trebuchet MS" w:cs="Trebuchet MS"/>
          <w:sz w:val="24"/>
          <w:szCs w:val="24"/>
        </w:rPr>
        <w:t>The following are the specific message elements to include.</w:t>
      </w:r>
    </w:p>
    <w:p w14:paraId="6F701F6E" w14:textId="77777777" w:rsidR="00B03953" w:rsidRDefault="00000000">
      <w:pPr>
        <w:widowControl w:val="0"/>
        <w:numPr>
          <w:ilvl w:val="0"/>
          <w:numId w:val="1"/>
        </w:numPr>
        <w:pBdr>
          <w:top w:val="nil"/>
          <w:left w:val="nil"/>
          <w:bottom w:val="nil"/>
          <w:right w:val="nil"/>
          <w:between w:val="nil"/>
        </w:pBd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Brief announcement to get the pedestrian’s attention.</w:t>
      </w:r>
    </w:p>
    <w:p w14:paraId="3B72B546" w14:textId="77777777" w:rsidR="00B03953" w:rsidRDefault="00000000">
      <w:pPr>
        <w:widowControl w:val="0"/>
        <w:numPr>
          <w:ilvl w:val="0"/>
          <w:numId w:val="1"/>
        </w:numPr>
        <w:pBdr>
          <w:top w:val="nil"/>
          <w:left w:val="nil"/>
          <w:bottom w:val="nil"/>
          <w:right w:val="nil"/>
          <w:between w:val="nil"/>
        </w:pBd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Current location of the pedestrian.</w:t>
      </w:r>
    </w:p>
    <w:p w14:paraId="3AA11114" w14:textId="77777777" w:rsidR="00B03953" w:rsidRDefault="00000000">
      <w:pPr>
        <w:widowControl w:val="0"/>
        <w:numPr>
          <w:ilvl w:val="0"/>
          <w:numId w:val="1"/>
        </w:numPr>
        <w:pBdr>
          <w:top w:val="nil"/>
          <w:left w:val="nil"/>
          <w:bottom w:val="nil"/>
          <w:right w:val="nil"/>
          <w:between w:val="nil"/>
        </w:pBd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What is occuring.</w:t>
      </w:r>
    </w:p>
    <w:p w14:paraId="5018ED27" w14:textId="77777777" w:rsidR="00B03953" w:rsidRDefault="00000000">
      <w:pPr>
        <w:widowControl w:val="0"/>
        <w:numPr>
          <w:ilvl w:val="0"/>
          <w:numId w:val="1"/>
        </w:numPr>
        <w:pBdr>
          <w:top w:val="nil"/>
          <w:left w:val="nil"/>
          <w:bottom w:val="nil"/>
          <w:right w:val="nil"/>
          <w:between w:val="nil"/>
        </w:pBd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Where is the impact (accessible path availability and event duration).</w:t>
      </w:r>
    </w:p>
    <w:p w14:paraId="674ED68B" w14:textId="77777777" w:rsidR="00B03953" w:rsidRDefault="00000000">
      <w:pPr>
        <w:widowControl w:val="0"/>
        <w:numPr>
          <w:ilvl w:val="0"/>
          <w:numId w:val="1"/>
        </w:numPr>
        <w:pBdr>
          <w:top w:val="nil"/>
          <w:left w:val="nil"/>
          <w:bottom w:val="nil"/>
          <w:right w:val="nil"/>
          <w:between w:val="nil"/>
        </w:pBd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Advisory action.</w:t>
      </w:r>
    </w:p>
    <w:p w14:paraId="5689897B" w14:textId="77777777" w:rsidR="00B03953" w:rsidRDefault="00000000">
      <w:pPr>
        <w:widowControl w:val="0"/>
        <w:numPr>
          <w:ilvl w:val="0"/>
          <w:numId w:val="1"/>
        </w:numPr>
        <w:pBdr>
          <w:top w:val="nil"/>
          <w:left w:val="nil"/>
          <w:bottom w:val="nil"/>
          <w:right w:val="nil"/>
          <w:between w:val="nil"/>
        </w:pBdr>
        <w:spacing w:after="24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Project information.</w:t>
      </w:r>
    </w:p>
    <w:p w14:paraId="756C1E9A" w14:textId="77777777" w:rsidR="00B03953" w:rsidRDefault="00000000" w:rsidP="00734862">
      <w:pPr>
        <w:pStyle w:val="Heading2"/>
      </w:pPr>
      <w:r>
        <w:t>Subsection 630.13 shall include the following:</w:t>
      </w:r>
    </w:p>
    <w:p w14:paraId="4FDF01DD" w14:textId="77777777" w:rsidR="00B03953" w:rsidRDefault="00000000">
      <w:pPr>
        <w:widowControl w:val="0"/>
        <w:spacing w:after="240"/>
        <w:rPr>
          <w:rFonts w:ascii="Trebuchet MS" w:eastAsia="Trebuchet MS" w:hAnsi="Trebuchet MS" w:cs="Trebuchet MS"/>
          <w:sz w:val="24"/>
          <w:szCs w:val="24"/>
        </w:rPr>
      </w:pPr>
      <w:r>
        <w:rPr>
          <w:rFonts w:ascii="Trebuchet MS" w:eastAsia="Trebuchet MS" w:hAnsi="Trebuchet MS" w:cs="Trebuchet MS"/>
          <w:sz w:val="24"/>
          <w:szCs w:val="24"/>
        </w:rPr>
        <w:t>The construction and installation of Audible Warning Devices shall be in accordance with the manufacturer’s recommendations.</w:t>
      </w:r>
    </w:p>
    <w:p w14:paraId="3957684E" w14:textId="77777777" w:rsidR="00B03953" w:rsidRDefault="00000000">
      <w:pPr>
        <w:widowControl w:val="0"/>
        <w:spacing w:after="240"/>
        <w:rPr>
          <w:rFonts w:ascii="Trebuchet MS" w:eastAsia="Trebuchet MS" w:hAnsi="Trebuchet MS" w:cs="Trebuchet MS"/>
          <w:sz w:val="24"/>
          <w:szCs w:val="24"/>
        </w:rPr>
      </w:pPr>
      <w:r>
        <w:rPr>
          <w:rFonts w:ascii="Trebuchet MS" w:eastAsia="Trebuchet MS" w:hAnsi="Trebuchet MS" w:cs="Trebuchet MS"/>
          <w:sz w:val="24"/>
          <w:szCs w:val="24"/>
        </w:rPr>
        <w:t>Warning devices shall be placed at the following locations:</w:t>
      </w:r>
    </w:p>
    <w:p w14:paraId="69495D30" w14:textId="77777777" w:rsidR="00B03953" w:rsidRDefault="00000000">
      <w:pPr>
        <w:widowControl w:val="0"/>
        <w:numPr>
          <w:ilvl w:val="0"/>
          <w:numId w:val="2"/>
        </w:numPr>
        <w:pBdr>
          <w:top w:val="nil"/>
          <w:left w:val="nil"/>
          <w:bottom w:val="nil"/>
          <w:right w:val="nil"/>
          <w:between w:val="nil"/>
        </w:pBd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Locations where the temporary pedestrian route differs from the existing condition,</w:t>
      </w:r>
    </w:p>
    <w:p w14:paraId="3E88E702" w14:textId="77777777" w:rsidR="00B03953" w:rsidRDefault="00000000">
      <w:pPr>
        <w:widowControl w:val="0"/>
        <w:numPr>
          <w:ilvl w:val="0"/>
          <w:numId w:val="2"/>
        </w:numPr>
        <w:pBdr>
          <w:top w:val="nil"/>
          <w:left w:val="nil"/>
          <w:bottom w:val="nil"/>
          <w:right w:val="nil"/>
          <w:between w:val="nil"/>
        </w:pBd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Locations ahead of a closure where a pedestrian may need to take a detour around the construction area, and/or</w:t>
      </w:r>
    </w:p>
    <w:p w14:paraId="25131923" w14:textId="77777777" w:rsidR="00B03953" w:rsidRDefault="00000000">
      <w:pPr>
        <w:widowControl w:val="0"/>
        <w:numPr>
          <w:ilvl w:val="0"/>
          <w:numId w:val="2"/>
        </w:numPr>
        <w:pBdr>
          <w:top w:val="nil"/>
          <w:left w:val="nil"/>
          <w:bottom w:val="nil"/>
          <w:right w:val="nil"/>
          <w:between w:val="nil"/>
        </w:pBdr>
        <w:spacing w:after="24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Locations where pedestrians need to make a decision at a different location in the existing condition.</w:t>
      </w:r>
    </w:p>
    <w:p w14:paraId="68B80C49" w14:textId="77777777" w:rsidR="00B03953" w:rsidRDefault="00000000" w:rsidP="00734862">
      <w:pPr>
        <w:pStyle w:val="Heading2"/>
      </w:pPr>
      <w:r>
        <w:lastRenderedPageBreak/>
        <w:t>Subsection 630.17 shall include the following:</w:t>
      </w:r>
    </w:p>
    <w:p w14:paraId="77BC2BAD" w14:textId="77777777" w:rsidR="00B03953" w:rsidRDefault="00000000">
      <w:pPr>
        <w:widowControl w:val="0"/>
        <w:spacing w:after="240"/>
        <w:rPr>
          <w:rFonts w:ascii="Trebuchet MS" w:eastAsia="Trebuchet MS" w:hAnsi="Trebuchet MS" w:cs="Trebuchet MS"/>
          <w:sz w:val="24"/>
          <w:szCs w:val="24"/>
        </w:rPr>
      </w:pPr>
      <w:r>
        <w:rPr>
          <w:rFonts w:ascii="Trebuchet MS" w:eastAsia="Trebuchet MS" w:hAnsi="Trebuchet MS" w:cs="Trebuchet MS"/>
          <w:sz w:val="24"/>
          <w:szCs w:val="24"/>
        </w:rPr>
        <w:t>Audible Warning Device will be measured as the actual number installed and accepted.</w:t>
      </w:r>
    </w:p>
    <w:p w14:paraId="08E47FEA" w14:textId="77777777" w:rsidR="00B03953" w:rsidRDefault="00000000" w:rsidP="00734862">
      <w:pPr>
        <w:pStyle w:val="Heading2"/>
      </w:pPr>
      <w:r>
        <w:t>Subsection 630.18 shall include the following:</w:t>
      </w:r>
    </w:p>
    <w:p w14:paraId="410BF56C" w14:textId="77777777" w:rsidR="00B03953" w:rsidRDefault="00000000">
      <w:pPr>
        <w:widowControl w:val="0"/>
        <w:spacing w:after="120"/>
        <w:rPr>
          <w:rFonts w:ascii="Trebuchet MS" w:eastAsia="Trebuchet MS" w:hAnsi="Trebuchet MS" w:cs="Trebuchet MS"/>
          <w:sz w:val="24"/>
          <w:szCs w:val="24"/>
        </w:rPr>
      </w:pPr>
      <w:r>
        <w:rPr>
          <w:rFonts w:ascii="Trebuchet MS" w:eastAsia="Trebuchet MS" w:hAnsi="Trebuchet MS" w:cs="Trebuchet MS"/>
          <w:sz w:val="24"/>
          <w:szCs w:val="24"/>
        </w:rPr>
        <w:t>Payment will be made under:</w:t>
      </w:r>
    </w:p>
    <w:tbl>
      <w:tblPr>
        <w:tblStyle w:val="a"/>
        <w:tblW w:w="7465" w:type="dxa"/>
        <w:tblBorders>
          <w:top w:val="nil"/>
          <w:left w:val="nil"/>
          <w:bottom w:val="nil"/>
          <w:right w:val="nil"/>
          <w:insideH w:val="nil"/>
          <w:insideV w:val="nil"/>
        </w:tblBorders>
        <w:tblLayout w:type="fixed"/>
        <w:tblLook w:val="0420" w:firstRow="1" w:lastRow="0" w:firstColumn="0" w:lastColumn="0" w:noHBand="0" w:noVBand="1"/>
      </w:tblPr>
      <w:tblGrid>
        <w:gridCol w:w="3595"/>
        <w:gridCol w:w="3870"/>
      </w:tblGrid>
      <w:tr w:rsidR="00B03953" w14:paraId="68E7E6BD" w14:textId="77777777" w:rsidTr="00734862">
        <w:trPr>
          <w:trHeight w:val="360"/>
        </w:trPr>
        <w:tc>
          <w:tcPr>
            <w:tcW w:w="3595" w:type="dxa"/>
            <w:vAlign w:val="center"/>
          </w:tcPr>
          <w:p w14:paraId="02D2F9AB" w14:textId="77777777" w:rsidR="00B03953" w:rsidRDefault="00000000">
            <w:pPr>
              <w:widowControl w:val="0"/>
              <w:rPr>
                <w:rFonts w:ascii="Trebuchet MS" w:eastAsia="Trebuchet MS" w:hAnsi="Trebuchet MS" w:cs="Trebuchet MS"/>
                <w:b/>
                <w:sz w:val="24"/>
                <w:szCs w:val="24"/>
                <w:u w:val="single"/>
              </w:rPr>
            </w:pPr>
            <w:r>
              <w:rPr>
                <w:rFonts w:ascii="Trebuchet MS" w:eastAsia="Trebuchet MS" w:hAnsi="Trebuchet MS" w:cs="Trebuchet MS"/>
                <w:b/>
                <w:sz w:val="24"/>
                <w:szCs w:val="24"/>
                <w:u w:val="single"/>
              </w:rPr>
              <w:t>Pay Item</w:t>
            </w:r>
          </w:p>
        </w:tc>
        <w:tc>
          <w:tcPr>
            <w:tcW w:w="3870" w:type="dxa"/>
            <w:vAlign w:val="center"/>
          </w:tcPr>
          <w:p w14:paraId="72C0C8E5" w14:textId="77777777" w:rsidR="00B03953" w:rsidRDefault="00000000">
            <w:pPr>
              <w:widowControl w:val="0"/>
              <w:rPr>
                <w:rFonts w:ascii="Trebuchet MS" w:eastAsia="Trebuchet MS" w:hAnsi="Trebuchet MS" w:cs="Trebuchet MS"/>
                <w:b/>
                <w:sz w:val="24"/>
                <w:szCs w:val="24"/>
                <w:u w:val="single"/>
              </w:rPr>
            </w:pPr>
            <w:r>
              <w:rPr>
                <w:rFonts w:ascii="Trebuchet MS" w:eastAsia="Trebuchet MS" w:hAnsi="Trebuchet MS" w:cs="Trebuchet MS"/>
                <w:b/>
                <w:sz w:val="24"/>
                <w:szCs w:val="24"/>
                <w:u w:val="single"/>
              </w:rPr>
              <w:t>Pay Unit</w:t>
            </w:r>
          </w:p>
        </w:tc>
      </w:tr>
      <w:tr w:rsidR="00B03953" w14:paraId="5F486668" w14:textId="77777777" w:rsidTr="00734862">
        <w:trPr>
          <w:trHeight w:val="360"/>
        </w:trPr>
        <w:tc>
          <w:tcPr>
            <w:tcW w:w="3595" w:type="dxa"/>
            <w:vAlign w:val="center"/>
          </w:tcPr>
          <w:p w14:paraId="238BC0A5" w14:textId="77777777" w:rsidR="00B03953" w:rsidRDefault="00000000">
            <w:pPr>
              <w:widowControl w:val="0"/>
              <w:rPr>
                <w:rFonts w:ascii="Trebuchet MS" w:eastAsia="Trebuchet MS" w:hAnsi="Trebuchet MS" w:cs="Trebuchet MS"/>
                <w:sz w:val="24"/>
                <w:szCs w:val="24"/>
              </w:rPr>
            </w:pPr>
            <w:r>
              <w:rPr>
                <w:rFonts w:ascii="Trebuchet MS" w:eastAsia="Trebuchet MS" w:hAnsi="Trebuchet MS" w:cs="Trebuchet MS"/>
                <w:sz w:val="24"/>
                <w:szCs w:val="24"/>
              </w:rPr>
              <w:t>Audible Warning Device</w:t>
            </w:r>
          </w:p>
        </w:tc>
        <w:tc>
          <w:tcPr>
            <w:tcW w:w="3870" w:type="dxa"/>
            <w:vAlign w:val="center"/>
          </w:tcPr>
          <w:p w14:paraId="436A4791" w14:textId="77777777" w:rsidR="00B03953" w:rsidRDefault="00000000">
            <w:pPr>
              <w:widowControl w:val="0"/>
              <w:rPr>
                <w:rFonts w:ascii="Trebuchet MS" w:eastAsia="Trebuchet MS" w:hAnsi="Trebuchet MS" w:cs="Trebuchet MS"/>
                <w:sz w:val="24"/>
                <w:szCs w:val="24"/>
              </w:rPr>
            </w:pPr>
            <w:r>
              <w:rPr>
                <w:rFonts w:ascii="Trebuchet MS" w:eastAsia="Trebuchet MS" w:hAnsi="Trebuchet MS" w:cs="Trebuchet MS"/>
                <w:sz w:val="24"/>
                <w:szCs w:val="24"/>
              </w:rPr>
              <w:t>Each</w:t>
            </w:r>
          </w:p>
        </w:tc>
      </w:tr>
    </w:tbl>
    <w:p w14:paraId="778D90B9" w14:textId="77777777" w:rsidR="00B03953" w:rsidRDefault="00000000">
      <w:pPr>
        <w:widowControl w:val="0"/>
        <w:spacing w:before="120" w:after="240"/>
        <w:rPr>
          <w:rFonts w:ascii="Trebuchet MS" w:eastAsia="Trebuchet MS" w:hAnsi="Trebuchet MS" w:cs="Trebuchet MS"/>
          <w:sz w:val="24"/>
          <w:szCs w:val="24"/>
        </w:rPr>
      </w:pPr>
      <w:r>
        <w:rPr>
          <w:rFonts w:ascii="Trebuchet MS" w:eastAsia="Trebuchet MS" w:hAnsi="Trebuchet MS" w:cs="Trebuchet MS"/>
          <w:sz w:val="24"/>
          <w:szCs w:val="24"/>
        </w:rPr>
        <w:t>Movement of the audible warning device to different locations, when required, will not be measured and paid for separated, but shall be included in the work.</w:t>
      </w:r>
    </w:p>
    <w:p w14:paraId="0CF60D75" w14:textId="77777777" w:rsidR="00B03953" w:rsidRDefault="00000000">
      <w:pPr>
        <w:widowControl w:val="0"/>
        <w:spacing w:before="120" w:after="240"/>
        <w:rPr>
          <w:rFonts w:ascii="Trebuchet MS" w:eastAsia="Trebuchet MS" w:hAnsi="Trebuchet MS" w:cs="Trebuchet MS"/>
          <w:sz w:val="24"/>
          <w:szCs w:val="24"/>
        </w:rPr>
      </w:pPr>
      <w:r>
        <w:rPr>
          <w:rFonts w:ascii="Trebuchet MS" w:eastAsia="Trebuchet MS" w:hAnsi="Trebuchet MS" w:cs="Trebuchet MS"/>
          <w:sz w:val="24"/>
          <w:szCs w:val="24"/>
        </w:rPr>
        <w:t>Updating the message of the device, when required, will not be measured and paid for separately, but shall be included in the work.</w:t>
      </w:r>
    </w:p>
    <w:sectPr w:rsidR="00B03953">
      <w:headerReference w:type="default" r:id="rId8"/>
      <w:pgSz w:w="12240" w:h="15840"/>
      <w:pgMar w:top="720" w:right="1080" w:bottom="720" w:left="1080" w:header="108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D0BF1" w14:textId="77777777" w:rsidR="000E39BA" w:rsidRDefault="000E39BA">
      <w:r>
        <w:separator/>
      </w:r>
    </w:p>
  </w:endnote>
  <w:endnote w:type="continuationSeparator" w:id="0">
    <w:p w14:paraId="78F947E0" w14:textId="77777777" w:rsidR="000E39BA" w:rsidRDefault="000E3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18362DA-7C0B-47E7-BB6C-3F3E27B7C054}"/>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auto"/>
    <w:pitch w:val="default"/>
  </w:font>
  <w:font w:name="Trebuchet MS">
    <w:panose1 w:val="020B0603020202020204"/>
    <w:charset w:val="00"/>
    <w:family w:val="swiss"/>
    <w:pitch w:val="variable"/>
    <w:sig w:usb0="00000687" w:usb1="00000000" w:usb2="00000000" w:usb3="00000000" w:csb0="0000009F" w:csb1="00000000"/>
    <w:embedRegular r:id="rId2" w:fontKey="{61A4BBFE-EB72-4B06-8D7F-73F872D0F350}"/>
    <w:embedBold r:id="rId3" w:fontKey="{8E66AD88-9E7C-481D-A27F-0563EA9BA447}"/>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A14148EC-2487-4039-B924-EA6859883BE5}"/>
  </w:font>
  <w:font w:name="Georgia">
    <w:panose1 w:val="02040502050405020303"/>
    <w:charset w:val="00"/>
    <w:family w:val="roman"/>
    <w:pitch w:val="variable"/>
    <w:sig w:usb0="00000287" w:usb1="00000000" w:usb2="00000000" w:usb3="00000000" w:csb0="0000009F" w:csb1="00000000"/>
    <w:embedRegular r:id="rId5" w:fontKey="{E324BDB7-334F-46FC-858E-9658EE1E6541}"/>
    <w:embedItalic r:id="rId6" w:fontKey="{BADFF4DF-4101-4B04-9B0E-0A284A7E8203}"/>
  </w:font>
  <w:font w:name="Cambria">
    <w:panose1 w:val="02040503050406030204"/>
    <w:charset w:val="00"/>
    <w:family w:val="roman"/>
    <w:pitch w:val="variable"/>
    <w:sig w:usb0="E00006FF" w:usb1="420024FF" w:usb2="02000000" w:usb3="00000000" w:csb0="0000019F" w:csb1="00000000"/>
    <w:embedRegular r:id="rId7" w:fontKey="{2389A94F-A345-4CC0-B9B1-15740DFCF737}"/>
  </w:font>
  <w:font w:name="Calibri">
    <w:panose1 w:val="020F0502020204030204"/>
    <w:charset w:val="00"/>
    <w:family w:val="swiss"/>
    <w:pitch w:val="variable"/>
    <w:sig w:usb0="E4002EFF" w:usb1="C200247B" w:usb2="00000009" w:usb3="00000000" w:csb0="000001FF" w:csb1="00000000"/>
    <w:embedRegular r:id="rId8" w:fontKey="{C89C4C98-3415-467D-B6CC-EA06EF39802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A09C8" w14:textId="77777777" w:rsidR="000E39BA" w:rsidRDefault="000E39BA">
      <w:r>
        <w:separator/>
      </w:r>
    </w:p>
  </w:footnote>
  <w:footnote w:type="continuationSeparator" w:id="0">
    <w:p w14:paraId="6A0B88C7" w14:textId="77777777" w:rsidR="000E39BA" w:rsidRDefault="000E3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24DD" w14:textId="77777777" w:rsidR="00B03953" w:rsidRDefault="000000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rPr>
        <w:rFonts w:ascii="Trebuchet MS" w:eastAsia="Trebuchet MS" w:hAnsi="Trebuchet MS" w:cs="Trebuchet MS"/>
        <w:sz w:val="22"/>
        <w:szCs w:val="22"/>
      </w:rPr>
    </w:pPr>
    <w:r>
      <w:rPr>
        <w:rFonts w:ascii="Trebuchet MS" w:eastAsia="Trebuchet MS" w:hAnsi="Trebuchet MS" w:cs="Trebuchet MS"/>
        <w:sz w:val="22"/>
        <w:szCs w:val="22"/>
      </w:rPr>
      <w:t>Sample Project Special Provision: 630awd</w:t>
    </w:r>
  </w:p>
  <w:p w14:paraId="2B281797" w14:textId="77777777" w:rsidR="00B03953" w:rsidRDefault="000000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rPr>
        <w:rFonts w:ascii="Trebuchet MS" w:eastAsia="Trebuchet MS" w:hAnsi="Trebuchet MS" w:cs="Trebuchet MS"/>
        <w:sz w:val="22"/>
        <w:szCs w:val="22"/>
      </w:rPr>
    </w:pPr>
    <w:r>
      <w:rPr>
        <w:rFonts w:ascii="Trebuchet MS" w:eastAsia="Trebuchet MS" w:hAnsi="Trebuchet MS" w:cs="Trebuchet MS"/>
        <w:sz w:val="22"/>
        <w:szCs w:val="22"/>
      </w:rPr>
      <w:t>Issued: 06/16/25</w:t>
    </w:r>
  </w:p>
  <w:p w14:paraId="3C1DC583" w14:textId="77777777" w:rsidR="00B03953" w:rsidRDefault="00000000">
    <w:pPr>
      <w:pBdr>
        <w:top w:val="nil"/>
        <w:left w:val="nil"/>
        <w:bottom w:val="nil"/>
        <w:right w:val="nil"/>
        <w:between w:val="nil"/>
      </w:pBdr>
      <w:tabs>
        <w:tab w:val="center" w:pos="4680"/>
        <w:tab w:val="right" w:pos="9360"/>
      </w:tabs>
      <w:jc w:val="cente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fldChar w:fldCharType="begin"/>
    </w:r>
    <w:r>
      <w:rPr>
        <w:rFonts w:ascii="Trebuchet MS" w:eastAsia="Trebuchet MS" w:hAnsi="Trebuchet MS" w:cs="Trebuchet MS"/>
        <w:color w:val="000000"/>
        <w:sz w:val="24"/>
        <w:szCs w:val="24"/>
      </w:rPr>
      <w:instrText>PAGE</w:instrText>
    </w:r>
    <w:r>
      <w:rPr>
        <w:rFonts w:ascii="Trebuchet MS" w:eastAsia="Trebuchet MS" w:hAnsi="Trebuchet MS" w:cs="Trebuchet MS"/>
        <w:color w:val="000000"/>
        <w:sz w:val="24"/>
        <w:szCs w:val="24"/>
      </w:rPr>
      <w:fldChar w:fldCharType="separate"/>
    </w:r>
    <w:r w:rsidR="00734862">
      <w:rPr>
        <w:rFonts w:ascii="Trebuchet MS" w:eastAsia="Trebuchet MS" w:hAnsi="Trebuchet MS" w:cs="Trebuchet MS"/>
        <w:color w:val="000000"/>
        <w:sz w:val="24"/>
        <w:szCs w:val="24"/>
      </w:rPr>
      <w:t>1</w:t>
    </w:r>
    <w:r>
      <w:rPr>
        <w:rFonts w:ascii="Trebuchet MS" w:eastAsia="Trebuchet MS" w:hAnsi="Trebuchet MS" w:cs="Trebuchet MS"/>
        <w:color w:val="000000"/>
        <w:sz w:val="24"/>
        <w:szCs w:val="24"/>
      </w:rPr>
      <w:fldChar w:fldCharType="end"/>
    </w:r>
  </w:p>
  <w:p w14:paraId="5D2EFB45" w14:textId="77777777" w:rsidR="00B03953" w:rsidRDefault="00B03953">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C47B1"/>
    <w:multiLevelType w:val="multilevel"/>
    <w:tmpl w:val="150E15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D6C1F63"/>
    <w:multiLevelType w:val="multilevel"/>
    <w:tmpl w:val="9DB6DA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87267205">
    <w:abstractNumId w:val="0"/>
  </w:num>
  <w:num w:numId="2" w16cid:durableId="1500391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953"/>
    <w:rsid w:val="000E39BA"/>
    <w:rsid w:val="00734862"/>
    <w:rsid w:val="00B03953"/>
    <w:rsid w:val="00D16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D0F01"/>
  <w15:docId w15:val="{DAF059A3-42F1-47A3-A778-D02536D0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Courier" w:hAnsi="Courier" w:cs="Courier"/>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BB5"/>
    <w:rPr>
      <w:noProof/>
    </w:rPr>
  </w:style>
  <w:style w:type="paragraph" w:styleId="Heading1">
    <w:name w:val="heading 1"/>
    <w:next w:val="Normal"/>
    <w:uiPriority w:val="9"/>
    <w:qFormat/>
    <w:rsid w:val="00734862"/>
    <w:pPr>
      <w:jc w:val="center"/>
      <w:outlineLvl w:val="0"/>
    </w:pPr>
    <w:rPr>
      <w:rFonts w:ascii="Trebuchet MS" w:hAnsi="Trebuchet MS"/>
      <w:b/>
      <w:noProof/>
      <w:sz w:val="28"/>
    </w:rPr>
  </w:style>
  <w:style w:type="paragraph" w:styleId="Heading2">
    <w:name w:val="heading 2"/>
    <w:next w:val="Normal"/>
    <w:uiPriority w:val="9"/>
    <w:unhideWhenUsed/>
    <w:qFormat/>
    <w:rsid w:val="00734862"/>
    <w:pPr>
      <w:outlineLvl w:val="1"/>
    </w:pPr>
    <w:rPr>
      <w:rFonts w:ascii="Trebuchet MS" w:hAnsi="Trebuchet MS"/>
      <w:b/>
      <w:noProof/>
      <w:sz w:val="28"/>
    </w:rPr>
  </w:style>
  <w:style w:type="paragraph" w:styleId="Heading3">
    <w:name w:val="heading 3"/>
    <w:next w:val="Normal"/>
    <w:uiPriority w:val="9"/>
    <w:semiHidden/>
    <w:unhideWhenUsed/>
    <w:qFormat/>
    <w:rsid w:val="00260BB5"/>
    <w:pPr>
      <w:outlineLvl w:val="2"/>
    </w:pPr>
    <w:rPr>
      <w:noProof/>
    </w:rPr>
  </w:style>
  <w:style w:type="paragraph" w:styleId="Heading4">
    <w:name w:val="heading 4"/>
    <w:next w:val="Normal"/>
    <w:uiPriority w:val="9"/>
    <w:semiHidden/>
    <w:unhideWhenUsed/>
    <w:qFormat/>
    <w:rsid w:val="00260BB5"/>
    <w:pPr>
      <w:outlineLvl w:val="3"/>
    </w:pPr>
    <w:rPr>
      <w:noProof/>
    </w:rPr>
  </w:style>
  <w:style w:type="paragraph" w:styleId="Heading5">
    <w:name w:val="heading 5"/>
    <w:next w:val="Normal"/>
    <w:uiPriority w:val="9"/>
    <w:semiHidden/>
    <w:unhideWhenUsed/>
    <w:qFormat/>
    <w:rsid w:val="00260BB5"/>
    <w:pPr>
      <w:outlineLvl w:val="4"/>
    </w:pPr>
    <w:rPr>
      <w:noProof/>
    </w:rPr>
  </w:style>
  <w:style w:type="paragraph" w:styleId="Heading6">
    <w:name w:val="heading 6"/>
    <w:next w:val="Normal"/>
    <w:uiPriority w:val="9"/>
    <w:semiHidden/>
    <w:unhideWhenUsed/>
    <w:qFormat/>
    <w:rsid w:val="00260BB5"/>
    <w:pPr>
      <w:outlineLvl w:val="5"/>
    </w:pPr>
    <w:rPr>
      <w:noProof/>
    </w:rPr>
  </w:style>
  <w:style w:type="paragraph" w:styleId="Heading7">
    <w:name w:val="heading 7"/>
    <w:next w:val="Normal"/>
    <w:qFormat/>
    <w:rsid w:val="00260BB5"/>
    <w:pPr>
      <w:outlineLvl w:val="6"/>
    </w:pPr>
    <w:rPr>
      <w:noProof/>
    </w:rPr>
  </w:style>
  <w:style w:type="paragraph" w:styleId="Heading8">
    <w:name w:val="heading 8"/>
    <w:next w:val="Normal"/>
    <w:qFormat/>
    <w:rsid w:val="00260BB5"/>
    <w:pPr>
      <w:outlineLvl w:val="7"/>
    </w:pPr>
    <w:rPr>
      <w:noProof/>
    </w:rPr>
  </w:style>
  <w:style w:type="paragraph" w:styleId="Heading9">
    <w:name w:val="heading 9"/>
    <w:next w:val="Normal"/>
    <w:qFormat/>
    <w:rsid w:val="00260BB5"/>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sid w:val="000608B4"/>
    <w:rPr>
      <w:rFonts w:ascii="Tahoma" w:hAnsi="Tahoma" w:cs="Tahoma"/>
      <w:sz w:val="16"/>
      <w:szCs w:val="16"/>
    </w:rPr>
  </w:style>
  <w:style w:type="paragraph" w:styleId="Header">
    <w:name w:val="header"/>
    <w:basedOn w:val="Normal"/>
    <w:link w:val="HeaderChar"/>
    <w:uiPriority w:val="99"/>
    <w:rsid w:val="003A6CC3"/>
    <w:pPr>
      <w:tabs>
        <w:tab w:val="center" w:pos="4680"/>
        <w:tab w:val="right" w:pos="9360"/>
      </w:tabs>
    </w:pPr>
  </w:style>
  <w:style w:type="character" w:customStyle="1" w:styleId="HeaderChar">
    <w:name w:val="Header Char"/>
    <w:basedOn w:val="DefaultParagraphFont"/>
    <w:link w:val="Header"/>
    <w:uiPriority w:val="99"/>
    <w:rsid w:val="003A6CC3"/>
    <w:rPr>
      <w:noProof/>
    </w:rPr>
  </w:style>
  <w:style w:type="paragraph" w:styleId="Footer">
    <w:name w:val="footer"/>
    <w:basedOn w:val="Normal"/>
    <w:link w:val="FooterChar"/>
    <w:rsid w:val="003A6CC3"/>
    <w:pPr>
      <w:tabs>
        <w:tab w:val="center" w:pos="4680"/>
        <w:tab w:val="right" w:pos="9360"/>
      </w:tabs>
    </w:pPr>
  </w:style>
  <w:style w:type="character" w:customStyle="1" w:styleId="FooterChar">
    <w:name w:val="Footer Char"/>
    <w:basedOn w:val="DefaultParagraphFont"/>
    <w:link w:val="Footer"/>
    <w:rsid w:val="003A6CC3"/>
    <w:rPr>
      <w:noProof/>
    </w:rPr>
  </w:style>
  <w:style w:type="paragraph" w:styleId="ListParagraph">
    <w:name w:val="List Paragraph"/>
    <w:basedOn w:val="Normal"/>
    <w:uiPriority w:val="34"/>
    <w:qFormat/>
    <w:rsid w:val="0031232A"/>
    <w:pPr>
      <w:ind w:left="720"/>
      <w:contextualSpacing/>
    </w:pPr>
  </w:style>
  <w:style w:type="table" w:styleId="TableGrid">
    <w:name w:val="Table Grid"/>
    <w:basedOn w:val="TableNormal"/>
    <w:rsid w:val="00473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WkxXPcQv/dHy4f130tck8+CtMw==">CgMxLjA4AHIhMUpEbjZyOXFNWEZhcHFYSnREcjFTa09QVURaREJCVE9q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412</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of Section 630 Audible Warning Device</dc:title>
  <dc:creator>prievee</dc:creator>
  <cp:lastModifiedBy>Michael, Felicia</cp:lastModifiedBy>
  <cp:revision>2</cp:revision>
  <dcterms:created xsi:type="dcterms:W3CDTF">2023-08-23T18:00:00Z</dcterms:created>
  <dcterms:modified xsi:type="dcterms:W3CDTF">2025-06-25T18:09:00Z</dcterms:modified>
</cp:coreProperties>
</file>