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0E0D0" w14:textId="2D35C685" w:rsidR="00C11331" w:rsidRDefault="00C11331" w:rsidP="00C11331">
      <w:pPr>
        <w:pStyle w:val="Caption"/>
        <w:keepNext/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"/>
        <w:gridCol w:w="4200"/>
        <w:gridCol w:w="6014"/>
        <w:gridCol w:w="72"/>
      </w:tblGrid>
      <w:tr w:rsidR="006470B2" w14:paraId="55997229" w14:textId="77777777">
        <w:trPr>
          <w:trHeight w:val="26"/>
        </w:trPr>
        <w:tc>
          <w:tcPr>
            <w:tcW w:w="72" w:type="dxa"/>
            <w:tcBorders>
              <w:top w:val="single" w:sz="18" w:space="0" w:color="000000"/>
              <w:right w:val="single" w:sz="18" w:space="0" w:color="000000"/>
            </w:tcBorders>
          </w:tcPr>
          <w:p w14:paraId="3BE5A047" w14:textId="77777777" w:rsidR="006470B2" w:rsidRDefault="006470B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342A486" w14:textId="77777777" w:rsidR="006470B2" w:rsidRDefault="006470B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14" w:type="dxa"/>
            <w:tcBorders>
              <w:top w:val="single" w:sz="18" w:space="0" w:color="000000"/>
              <w:bottom w:val="single" w:sz="18" w:space="0" w:color="000000"/>
            </w:tcBorders>
          </w:tcPr>
          <w:p w14:paraId="5EAE95A0" w14:textId="77777777" w:rsidR="006470B2" w:rsidRDefault="006470B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" w:type="dxa"/>
            <w:tcBorders>
              <w:top w:val="single" w:sz="18" w:space="0" w:color="000000"/>
              <w:right w:val="single" w:sz="18" w:space="0" w:color="000000"/>
            </w:tcBorders>
          </w:tcPr>
          <w:p w14:paraId="6AAEF928" w14:textId="77777777" w:rsidR="006470B2" w:rsidRDefault="006470B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470B2" w14:paraId="0DD0525D" w14:textId="77777777">
        <w:trPr>
          <w:trHeight w:val="1263"/>
        </w:trPr>
        <w:tc>
          <w:tcPr>
            <w:tcW w:w="72" w:type="dxa"/>
            <w:tcBorders>
              <w:right w:val="single" w:sz="18" w:space="0" w:color="000000"/>
            </w:tcBorders>
          </w:tcPr>
          <w:p w14:paraId="7ABD67AE" w14:textId="77777777" w:rsidR="006470B2" w:rsidRDefault="006470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18" w:space="0" w:color="000000"/>
              <w:left w:val="single" w:sz="18" w:space="0" w:color="000000"/>
            </w:tcBorders>
          </w:tcPr>
          <w:p w14:paraId="4F3F87C7" w14:textId="77777777" w:rsidR="006470B2" w:rsidRDefault="006470B2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5348CA03" w14:textId="77777777" w:rsidR="006470B2" w:rsidRDefault="00487143">
            <w:pPr>
              <w:pStyle w:val="TableParagraph"/>
              <w:ind w:left="1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D7BD577" wp14:editId="5255E914">
                  <wp:extent cx="2096814" cy="390144"/>
                  <wp:effectExtent l="0" t="0" r="0" b="0"/>
                  <wp:docPr id="1" name="image1.jpeg" descr="CDOT Logo" title="CDO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814" cy="390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4" w:type="dxa"/>
            <w:tcBorders>
              <w:top w:val="single" w:sz="18" w:space="0" w:color="000000"/>
              <w:right w:val="single" w:sz="18" w:space="0" w:color="000000"/>
            </w:tcBorders>
          </w:tcPr>
          <w:p w14:paraId="2A7AC46F" w14:textId="77777777" w:rsidR="006470B2" w:rsidRDefault="00487143">
            <w:pPr>
              <w:pStyle w:val="TableParagraph"/>
              <w:spacing w:before="334"/>
              <w:ind w:left="779" w:right="26"/>
              <w:jc w:val="center"/>
              <w:rPr>
                <w:rFonts w:ascii="Impact"/>
                <w:sz w:val="64"/>
              </w:rPr>
            </w:pPr>
            <w:r>
              <w:rPr>
                <w:rFonts w:ascii="Impact"/>
                <w:sz w:val="64"/>
              </w:rPr>
              <w:t>MATERIALS</w:t>
            </w:r>
            <w:r>
              <w:rPr>
                <w:rFonts w:ascii="Impact"/>
                <w:spacing w:val="-6"/>
                <w:sz w:val="64"/>
              </w:rPr>
              <w:t xml:space="preserve"> </w:t>
            </w:r>
            <w:r>
              <w:rPr>
                <w:rFonts w:ascii="Impact"/>
                <w:spacing w:val="-2"/>
                <w:sz w:val="64"/>
              </w:rPr>
              <w:t>BULLETIN</w:t>
            </w:r>
          </w:p>
        </w:tc>
        <w:tc>
          <w:tcPr>
            <w:tcW w:w="72" w:type="dxa"/>
            <w:tcBorders>
              <w:left w:val="single" w:sz="18" w:space="0" w:color="000000"/>
              <w:right w:val="single" w:sz="18" w:space="0" w:color="000000"/>
            </w:tcBorders>
          </w:tcPr>
          <w:p w14:paraId="42CEAD04" w14:textId="77777777" w:rsidR="006470B2" w:rsidRDefault="006470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70B2" w14:paraId="2EE77CF6" w14:textId="77777777">
        <w:trPr>
          <w:trHeight w:val="1324"/>
        </w:trPr>
        <w:tc>
          <w:tcPr>
            <w:tcW w:w="72" w:type="dxa"/>
            <w:tcBorders>
              <w:right w:val="single" w:sz="18" w:space="0" w:color="000000"/>
            </w:tcBorders>
          </w:tcPr>
          <w:p w14:paraId="0BF48072" w14:textId="77777777" w:rsidR="006470B2" w:rsidRDefault="006470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0" w:type="dxa"/>
            <w:tcBorders>
              <w:left w:val="single" w:sz="18" w:space="0" w:color="000000"/>
              <w:bottom w:val="single" w:sz="18" w:space="0" w:color="000000"/>
            </w:tcBorders>
          </w:tcPr>
          <w:p w14:paraId="3DF053E8" w14:textId="77777777" w:rsidR="006470B2" w:rsidRDefault="00487143">
            <w:pPr>
              <w:pStyle w:val="TableParagraph"/>
              <w:spacing w:before="149"/>
              <w:ind w:left="251"/>
              <w:rPr>
                <w:sz w:val="16"/>
              </w:rPr>
            </w:pPr>
            <w:r>
              <w:rPr>
                <w:color w:val="585858"/>
                <w:sz w:val="16"/>
              </w:rPr>
              <w:t>Materials</w:t>
            </w:r>
            <w:r>
              <w:rPr>
                <w:color w:val="585858"/>
                <w:spacing w:val="-7"/>
                <w:sz w:val="16"/>
              </w:rPr>
              <w:t xml:space="preserve"> </w:t>
            </w:r>
            <w:r>
              <w:rPr>
                <w:color w:val="585858"/>
                <w:sz w:val="16"/>
              </w:rPr>
              <w:t>and</w:t>
            </w:r>
            <w:r>
              <w:rPr>
                <w:color w:val="585858"/>
                <w:spacing w:val="-7"/>
                <w:sz w:val="16"/>
              </w:rPr>
              <w:t xml:space="preserve"> </w:t>
            </w:r>
            <w:r>
              <w:rPr>
                <w:color w:val="585858"/>
                <w:sz w:val="16"/>
              </w:rPr>
              <w:t>Geotechnical</w:t>
            </w:r>
            <w:r>
              <w:rPr>
                <w:color w:val="585858"/>
                <w:spacing w:val="-5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Branch</w:t>
            </w:r>
          </w:p>
        </w:tc>
        <w:tc>
          <w:tcPr>
            <w:tcW w:w="6014" w:type="dxa"/>
            <w:tcBorders>
              <w:bottom w:val="single" w:sz="18" w:space="0" w:color="000000"/>
              <w:right w:val="single" w:sz="18" w:space="0" w:color="000000"/>
            </w:tcBorders>
          </w:tcPr>
          <w:p w14:paraId="47CFB17D" w14:textId="77777777" w:rsidR="006470B2" w:rsidRDefault="006470B2">
            <w:pPr>
              <w:pStyle w:val="TableParagraph"/>
              <w:rPr>
                <w:rFonts w:ascii="Times New Roman"/>
                <w:sz w:val="21"/>
              </w:rPr>
            </w:pPr>
          </w:p>
          <w:p w14:paraId="05D8E9D2" w14:textId="337CABA7" w:rsidR="006470B2" w:rsidRDefault="00487143">
            <w:pPr>
              <w:pStyle w:val="TableParagraph"/>
              <w:ind w:left="1451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 w:rsidR="00AA343B">
              <w:rPr>
                <w:b/>
                <w:sz w:val="23"/>
              </w:rPr>
              <w:t>4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Field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Materials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Manual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Update</w:t>
            </w:r>
          </w:p>
          <w:p w14:paraId="6D8ED5DC" w14:textId="24960821" w:rsidR="006470B2" w:rsidRDefault="00487143">
            <w:pPr>
              <w:pStyle w:val="TableParagraph"/>
              <w:spacing w:before="21"/>
              <w:ind w:left="1460"/>
              <w:rPr>
                <w:sz w:val="23"/>
              </w:rPr>
            </w:pPr>
            <w:r>
              <w:rPr>
                <w:sz w:val="23"/>
              </w:rPr>
              <w:t>Number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Page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1 of </w:t>
            </w:r>
            <w:r>
              <w:rPr>
                <w:spacing w:val="-10"/>
                <w:sz w:val="23"/>
              </w:rPr>
              <w:t>1</w:t>
            </w:r>
          </w:p>
          <w:p w14:paraId="1BAF3815" w14:textId="14DDDB13" w:rsidR="006470B2" w:rsidRDefault="00487143" w:rsidP="0003124B">
            <w:pPr>
              <w:pStyle w:val="TableParagraph"/>
              <w:spacing w:before="31"/>
              <w:ind w:left="1460"/>
              <w:rPr>
                <w:sz w:val="23"/>
              </w:rPr>
            </w:pPr>
            <w:r>
              <w:rPr>
                <w:sz w:val="23"/>
              </w:rPr>
              <w:t>Date:</w:t>
            </w:r>
            <w:r>
              <w:rPr>
                <w:spacing w:val="-4"/>
                <w:sz w:val="23"/>
              </w:rPr>
              <w:t xml:space="preserve"> </w:t>
            </w:r>
            <w:r w:rsidR="00AA343B">
              <w:rPr>
                <w:sz w:val="23"/>
              </w:rPr>
              <w:t xml:space="preserve">August </w:t>
            </w:r>
            <w:r w:rsidR="0003124B">
              <w:rPr>
                <w:sz w:val="23"/>
              </w:rPr>
              <w:t>2</w:t>
            </w:r>
            <w:bookmarkStart w:id="0" w:name="_GoBack"/>
            <w:bookmarkEnd w:id="0"/>
            <w:r w:rsidR="00AA343B">
              <w:rPr>
                <w:sz w:val="23"/>
              </w:rPr>
              <w:t>, 2023</w:t>
            </w:r>
          </w:p>
        </w:tc>
        <w:tc>
          <w:tcPr>
            <w:tcW w:w="72" w:type="dxa"/>
            <w:tcBorders>
              <w:left w:val="single" w:sz="18" w:space="0" w:color="000000"/>
              <w:right w:val="single" w:sz="18" w:space="0" w:color="000000"/>
            </w:tcBorders>
          </w:tcPr>
          <w:p w14:paraId="2C074B7B" w14:textId="77777777" w:rsidR="006470B2" w:rsidRDefault="006470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1B1A397" w14:textId="77777777" w:rsidR="006470B2" w:rsidRDefault="006470B2">
      <w:pPr>
        <w:pStyle w:val="BodyText"/>
        <w:spacing w:before="4"/>
        <w:rPr>
          <w:rFonts w:ascii="Times New Roman"/>
          <w:sz w:val="3"/>
        </w:rPr>
      </w:pPr>
    </w:p>
    <w:p w14:paraId="16DD9081" w14:textId="77777777" w:rsidR="006470B2" w:rsidRDefault="00706A1C">
      <w:pPr>
        <w:pStyle w:val="BodyText"/>
        <w:spacing w:line="36" w:lineRule="exact"/>
        <w:ind w:left="170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6F1B2D3B" wp14:editId="03A80CAE">
                <wp:extent cx="6600825" cy="22860"/>
                <wp:effectExtent l="3175" t="0" r="0" b="0"/>
                <wp:docPr id="2" name="docshapegroup1" descr="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825" cy="22860"/>
                          <a:chOff x="0" y="0"/>
                          <a:chExt cx="10395" cy="36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95" cy="36"/>
                          </a:xfrm>
                          <a:custGeom>
                            <a:avLst/>
                            <a:gdLst>
                              <a:gd name="T0" fmla="*/ 10286 w 10395"/>
                              <a:gd name="T1" fmla="*/ 0 h 36"/>
                              <a:gd name="T2" fmla="*/ 5165 w 10395"/>
                              <a:gd name="T3" fmla="*/ 0 h 36"/>
                              <a:gd name="T4" fmla="*/ 5071 w 10395"/>
                              <a:gd name="T5" fmla="*/ 0 h 36"/>
                              <a:gd name="T6" fmla="*/ 5057 w 10395"/>
                              <a:gd name="T7" fmla="*/ 0 h 36"/>
                              <a:gd name="T8" fmla="*/ 108 w 10395"/>
                              <a:gd name="T9" fmla="*/ 0 h 36"/>
                              <a:gd name="T10" fmla="*/ 0 w 10395"/>
                              <a:gd name="T11" fmla="*/ 0 h 36"/>
                              <a:gd name="T12" fmla="*/ 0 w 10395"/>
                              <a:gd name="T13" fmla="*/ 36 h 36"/>
                              <a:gd name="T14" fmla="*/ 108 w 10395"/>
                              <a:gd name="T15" fmla="*/ 36 h 36"/>
                              <a:gd name="T16" fmla="*/ 5057 w 10395"/>
                              <a:gd name="T17" fmla="*/ 36 h 36"/>
                              <a:gd name="T18" fmla="*/ 5071 w 10395"/>
                              <a:gd name="T19" fmla="*/ 36 h 36"/>
                              <a:gd name="T20" fmla="*/ 5165 w 10395"/>
                              <a:gd name="T21" fmla="*/ 36 h 36"/>
                              <a:gd name="T22" fmla="*/ 10286 w 10395"/>
                              <a:gd name="T23" fmla="*/ 36 h 36"/>
                              <a:gd name="T24" fmla="*/ 10286 w 10395"/>
                              <a:gd name="T25" fmla="*/ 0 h 36"/>
                              <a:gd name="T26" fmla="*/ 10394 w 10395"/>
                              <a:gd name="T27" fmla="*/ 0 h 36"/>
                              <a:gd name="T28" fmla="*/ 10286 w 10395"/>
                              <a:gd name="T29" fmla="*/ 0 h 36"/>
                              <a:gd name="T30" fmla="*/ 10286 w 10395"/>
                              <a:gd name="T31" fmla="*/ 36 h 36"/>
                              <a:gd name="T32" fmla="*/ 10394 w 10395"/>
                              <a:gd name="T33" fmla="*/ 36 h 36"/>
                              <a:gd name="T34" fmla="*/ 10394 w 10395"/>
                              <a:gd name="T35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395" h="36">
                                <a:moveTo>
                                  <a:pt x="10286" y="0"/>
                                </a:moveTo>
                                <a:lnTo>
                                  <a:pt x="5165" y="0"/>
                                </a:lnTo>
                                <a:lnTo>
                                  <a:pt x="5071" y="0"/>
                                </a:lnTo>
                                <a:lnTo>
                                  <a:pt x="5057" y="0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108" y="36"/>
                                </a:lnTo>
                                <a:lnTo>
                                  <a:pt x="5057" y="36"/>
                                </a:lnTo>
                                <a:lnTo>
                                  <a:pt x="5071" y="36"/>
                                </a:lnTo>
                                <a:lnTo>
                                  <a:pt x="5165" y="36"/>
                                </a:lnTo>
                                <a:lnTo>
                                  <a:pt x="10286" y="36"/>
                                </a:lnTo>
                                <a:lnTo>
                                  <a:pt x="10286" y="0"/>
                                </a:lnTo>
                                <a:close/>
                                <a:moveTo>
                                  <a:pt x="10394" y="0"/>
                                </a:moveTo>
                                <a:lnTo>
                                  <a:pt x="10286" y="0"/>
                                </a:lnTo>
                                <a:lnTo>
                                  <a:pt x="10286" y="36"/>
                                </a:lnTo>
                                <a:lnTo>
                                  <a:pt x="10394" y="36"/>
                                </a:lnTo>
                                <a:lnTo>
                                  <a:pt x="10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774F14" id="docshapegroup1" o:spid="_x0000_s1026" alt="Title: line - Description: line" style="width:519.75pt;height:1.8pt;mso-position-horizontal-relative:char;mso-position-vertical-relative:line" coordsize="10395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">
                <v:shape id="docshape2" o:spid="_x0000_s1027" style="position:absolute;width:10395;height:36;visibility:visible;mso-wrap-style:square;v-text-anchor:top" coordsize="1039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" path="m10286,l5165,r-94,l5057,,108,,,,,36r108,l5057,36r14,l5165,36r5121,l10286,xm10394,r-108,l10286,36r108,l10394,xe" fillcolor="black" stroked="f">
                  <v:path arrowok="t" o:connecttype="custom" o:connectlocs="10286,0;5165,0;5071,0;5057,0;108,0;0,0;0,36;108,36;5057,36;5071,36;5165,36;10286,36;10286,0;10394,0;10286,0;10286,36;10394,36;10394,0" o:connectangles="0,0,0,0,0,0,0,0,0,0,0,0,0,0,0,0,0,0"/>
                </v:shape>
                <w10:anchorlock/>
              </v:group>
            </w:pict>
          </mc:Fallback>
        </mc:AlternateContent>
      </w:r>
    </w:p>
    <w:p w14:paraId="4CFD64A1" w14:textId="77777777" w:rsidR="006470B2" w:rsidRDefault="006470B2">
      <w:pPr>
        <w:pStyle w:val="BodyText"/>
        <w:spacing w:before="10"/>
        <w:rPr>
          <w:rFonts w:ascii="Times New Roman"/>
          <w:sz w:val="12"/>
        </w:rPr>
      </w:pPr>
    </w:p>
    <w:p w14:paraId="300A5512" w14:textId="7C9AC98C" w:rsidR="006470B2" w:rsidRDefault="00487143" w:rsidP="002020ED">
      <w:pPr>
        <w:pStyle w:val="Title"/>
        <w:spacing w:before="120" w:after="120"/>
      </w:pPr>
      <w:r>
        <w:t>202</w:t>
      </w:r>
      <w:r w:rsidR="00AA343B">
        <w:t>4</w:t>
      </w:r>
      <w:r>
        <w:rPr>
          <w:spacing w:val="-7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Manual</w:t>
      </w:r>
      <w:r w:rsidR="007845E2">
        <w:t xml:space="preserve"> Editorial</w:t>
      </w:r>
      <w:r>
        <w:rPr>
          <w:spacing w:val="-7"/>
        </w:rPr>
        <w:t xml:space="preserve"> </w:t>
      </w:r>
      <w:r>
        <w:rPr>
          <w:spacing w:val="-2"/>
        </w:rPr>
        <w:t>Update</w:t>
      </w:r>
    </w:p>
    <w:p w14:paraId="176E728D" w14:textId="5BF2566E" w:rsidR="006470B2" w:rsidRDefault="00487143" w:rsidP="002020ED">
      <w:pPr>
        <w:pStyle w:val="BodyText"/>
        <w:spacing w:before="240" w:after="240"/>
        <w:ind w:left="115" w:right="550" w:hanging="10"/>
      </w:pP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Bulletin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 current 202</w:t>
      </w:r>
      <w:r w:rsidR="00AA343B">
        <w:t>4</w:t>
      </w:r>
      <w:r>
        <w:t xml:space="preserve"> CDOT Field Materials Manual of an </w:t>
      </w:r>
      <w:r w:rsidR="007845E2">
        <w:t xml:space="preserve">editorial </w:t>
      </w:r>
      <w:r>
        <w:t>update.</w:t>
      </w:r>
    </w:p>
    <w:p w14:paraId="7EBB7437" w14:textId="77777777" w:rsidR="00AA343B" w:rsidRDefault="00487143" w:rsidP="002020ED">
      <w:pPr>
        <w:spacing w:before="240" w:after="240"/>
        <w:ind w:left="120" w:right="3"/>
        <w:rPr>
          <w:i/>
          <w:sz w:val="24"/>
        </w:rPr>
      </w:pPr>
      <w:r>
        <w:rPr>
          <w:sz w:val="24"/>
        </w:rPr>
        <w:t xml:space="preserve">The </w:t>
      </w:r>
      <w:r w:rsidR="00AA343B">
        <w:rPr>
          <w:i/>
          <w:sz w:val="24"/>
        </w:rPr>
        <w:t>I</w:t>
      </w:r>
      <w:r>
        <w:rPr>
          <w:i/>
          <w:sz w:val="24"/>
        </w:rPr>
        <w:t xml:space="preserve">A FREQUENCY GUIDE SCHEDULE for </w:t>
      </w:r>
      <w:r w:rsidR="00AA343B">
        <w:rPr>
          <w:i/>
          <w:sz w:val="24"/>
        </w:rPr>
        <w:t>Evaluation of OA Sampling and Testing.</w:t>
      </w:r>
      <w:r>
        <w:rPr>
          <w:i/>
          <w:sz w:val="24"/>
        </w:rPr>
        <w:t xml:space="preserve"> </w:t>
      </w:r>
    </w:p>
    <w:p w14:paraId="4CDCB4DB" w14:textId="24F0FDB8" w:rsidR="001B4023" w:rsidRDefault="00487143" w:rsidP="002020ED">
      <w:pPr>
        <w:spacing w:before="240" w:after="240"/>
        <w:ind w:left="120" w:right="3"/>
        <w:rPr>
          <w:sz w:val="24"/>
        </w:rPr>
      </w:pPr>
      <w:r>
        <w:rPr>
          <w:sz w:val="24"/>
        </w:rPr>
        <w:t>Item 4</w:t>
      </w:r>
      <w:r w:rsidR="00C57C60">
        <w:rPr>
          <w:sz w:val="24"/>
        </w:rPr>
        <w:t>12</w:t>
      </w:r>
      <w:r>
        <w:rPr>
          <w:sz w:val="24"/>
        </w:rPr>
        <w:t xml:space="preserve"> </w:t>
      </w:r>
      <w:r w:rsidR="00C57C60">
        <w:rPr>
          <w:sz w:val="24"/>
        </w:rPr>
        <w:t>Portland Cement Concrete Pavement</w:t>
      </w:r>
      <w:r w:rsidR="00AA343B">
        <w:rPr>
          <w:sz w:val="24"/>
        </w:rPr>
        <w:t xml:space="preserve"> (PCCP)</w:t>
      </w:r>
      <w:r w:rsidR="00C57C60">
        <w:rPr>
          <w:sz w:val="24"/>
        </w:rPr>
        <w:t xml:space="preserve"> Compressive Strength </w:t>
      </w:r>
      <w:r w:rsidR="00AA343B">
        <w:rPr>
          <w:sz w:val="24"/>
        </w:rPr>
        <w:t>and</w:t>
      </w:r>
      <w:r w:rsidR="00C57C60">
        <w:rPr>
          <w:sz w:val="24"/>
        </w:rPr>
        <w:t xml:space="preserve"> Flexural Strength, </w:t>
      </w:r>
    </w:p>
    <w:p w14:paraId="61D93D5F" w14:textId="324DABAE" w:rsidR="002020ED" w:rsidRDefault="00487143" w:rsidP="002020ED">
      <w:pPr>
        <w:pStyle w:val="BodyText"/>
        <w:spacing w:before="240" w:after="240"/>
        <w:ind w:left="115" w:right="550" w:hanging="10"/>
      </w:pPr>
      <w:r>
        <w:t>During</w:t>
      </w:r>
      <w:r>
        <w:rPr>
          <w:spacing w:val="-1"/>
        </w:rPr>
        <w:t xml:space="preserve"> </w:t>
      </w:r>
      <w:r w:rsidR="00321B80">
        <w:t>a review of the 202</w:t>
      </w:r>
      <w:r w:rsidR="00AA343B">
        <w:t>4</w:t>
      </w:r>
      <w:r w:rsidR="00321B80">
        <w:t xml:space="preserve"> CDOT Field Materials Manual it was </w:t>
      </w:r>
      <w:r w:rsidR="00706A1C">
        <w:t xml:space="preserve">discovered </w:t>
      </w:r>
      <w:r w:rsidR="00321B80">
        <w:t xml:space="preserve">that </w:t>
      </w:r>
      <w:r w:rsidR="00AA343B">
        <w:t>the minimum Sampling Frequency</w:t>
      </w:r>
      <w:r w:rsidR="001B4023">
        <w:t xml:space="preserve"> for </w:t>
      </w:r>
      <w:r w:rsidR="00AA343B">
        <w:t xml:space="preserve">the IA Schedule </w:t>
      </w:r>
      <w:r w:rsidR="001B4023">
        <w:t>Item 412</w:t>
      </w:r>
      <w:r w:rsidR="00AA343B">
        <w:t>, Portland Cement Concrete Pavement (PCCP) (Compressive and Flexural Strength Alternative)</w:t>
      </w:r>
      <w:r w:rsidR="00321B80">
        <w:t xml:space="preserve"> </w:t>
      </w:r>
      <w:r w:rsidR="00033EF9">
        <w:t>was incorrect and reflected the wrong minimum sampling frequency interval.</w:t>
      </w:r>
      <w:r w:rsidR="00AA343B">
        <w:t xml:space="preserve"> The</w:t>
      </w:r>
      <w:r w:rsidR="00706A1C">
        <w:t xml:space="preserve"> appropriate</w:t>
      </w:r>
      <w:r w:rsidR="00AA343B">
        <w:t xml:space="preserve"> edit</w:t>
      </w:r>
      <w:r w:rsidR="007845E2">
        <w:t>orial changes</w:t>
      </w:r>
      <w:r w:rsidR="00AA343B">
        <w:t xml:space="preserve"> </w:t>
      </w:r>
      <w:r w:rsidR="00033EF9">
        <w:t>have been made</w:t>
      </w:r>
      <w:r w:rsidR="00AA343B">
        <w:t xml:space="preserve"> to rectify the issue.</w:t>
      </w:r>
    </w:p>
    <w:p w14:paraId="3C2014ED" w14:textId="77777777" w:rsidR="002020ED" w:rsidRDefault="00487143" w:rsidP="002020ED">
      <w:pPr>
        <w:pStyle w:val="BodyText"/>
        <w:spacing w:before="240"/>
        <w:ind w:left="115" w:right="547" w:hanging="14"/>
      </w:pPr>
      <w:r>
        <w:t xml:space="preserve">The </w:t>
      </w:r>
      <w:hyperlink r:id="rId5">
        <w:r>
          <w:rPr>
            <w:color w:val="0000FF"/>
            <w:u w:val="single" w:color="0000FF"/>
          </w:rPr>
          <w:t>202</w:t>
        </w:r>
        <w:r w:rsidR="00AA343B">
          <w:rPr>
            <w:color w:val="0000FF"/>
            <w:u w:val="single" w:color="0000FF"/>
          </w:rPr>
          <w:t>4</w:t>
        </w:r>
        <w:r>
          <w:rPr>
            <w:color w:val="0000FF"/>
            <w:u w:val="single" w:color="0000FF"/>
          </w:rPr>
          <w:t xml:space="preserve"> CDOT Field Materials Manual electronic version</w:t>
        </w:r>
      </w:hyperlink>
      <w:r>
        <w:rPr>
          <w:color w:val="0000FF"/>
        </w:rPr>
        <w:t xml:space="preserve"> </w:t>
      </w:r>
      <w:r>
        <w:t>located in the Geotechnical Manuals</w:t>
      </w:r>
      <w:r>
        <w:rPr>
          <w:spacing w:val="-3"/>
        </w:rPr>
        <w:t xml:space="preserve"> </w:t>
      </w:r>
      <w:r>
        <w:t>webpage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updated.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download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print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updated</w:t>
      </w:r>
      <w:r>
        <w:rPr>
          <w:spacing w:val="-2"/>
        </w:rPr>
        <w:t xml:space="preserve"> </w:t>
      </w:r>
      <w:hyperlink r:id="rId6">
        <w:r w:rsidR="00AA343B">
          <w:rPr>
            <w:color w:val="0000FF"/>
            <w:u w:val="single" w:color="0000FF"/>
          </w:rPr>
          <w:t>I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Schedule</w:t>
        </w:r>
      </w:hyperlink>
      <w:r>
        <w:rPr>
          <w:color w:val="0000FF"/>
        </w:rPr>
        <w:t xml:space="preserve"> </w:t>
      </w:r>
      <w:r>
        <w:t>(also attached) to add to your hard copy 202</w:t>
      </w:r>
      <w:r w:rsidR="00AA343B">
        <w:t>4</w:t>
      </w:r>
      <w:r>
        <w:t xml:space="preserve"> Field Materials Manual or copy the updated version of the 202</w:t>
      </w:r>
      <w:r w:rsidR="00AA343B">
        <w:t>4</w:t>
      </w:r>
      <w:r>
        <w:t xml:space="preserve"> Field Materials Manual (Entire Manual) with </w:t>
      </w:r>
      <w:r w:rsidR="001B4023">
        <w:t>0</w:t>
      </w:r>
      <w:r w:rsidR="00AA343B">
        <w:t>8_0</w:t>
      </w:r>
      <w:r w:rsidR="00F227EA">
        <w:t>4</w:t>
      </w:r>
      <w:r w:rsidR="00AA343B">
        <w:t>_2023</w:t>
      </w:r>
      <w:r>
        <w:t xml:space="preserve"> edits to your desktop for your </w:t>
      </w:r>
      <w:r w:rsidR="0046792E">
        <w:t>reference.</w:t>
      </w:r>
    </w:p>
    <w:p w14:paraId="6D77C55A" w14:textId="7AB21847" w:rsidR="006470B2" w:rsidRDefault="0046792E" w:rsidP="002020ED">
      <w:pPr>
        <w:pStyle w:val="BodyText"/>
        <w:spacing w:before="240"/>
        <w:ind w:left="115" w:right="547" w:hanging="14"/>
      </w:pPr>
      <w:r>
        <w:t>The following link to the Manuals has been attached f</w:t>
      </w:r>
      <w:r w:rsidR="00487143">
        <w:t>or your reference and use.</w:t>
      </w:r>
    </w:p>
    <w:p w14:paraId="26DAF4A6" w14:textId="7D9FC4A5" w:rsidR="006470B2" w:rsidRDefault="0003124B" w:rsidP="002020ED">
      <w:pPr>
        <w:pStyle w:val="BodyText"/>
        <w:spacing w:after="240"/>
        <w:ind w:left="101"/>
        <w:rPr>
          <w:color w:val="0000FF"/>
          <w:spacing w:val="-2"/>
        </w:rPr>
      </w:pPr>
      <w:hyperlink r:id="rId7">
        <w:r w:rsidR="00487143">
          <w:rPr>
            <w:color w:val="0000FF"/>
            <w:spacing w:val="-2"/>
            <w:u w:val="single" w:color="0000FF"/>
          </w:rPr>
          <w:t>https://www.codot.gov/business/designsupport/materials-and-geotechnical/manuals</w:t>
        </w:r>
      </w:hyperlink>
      <w:r w:rsidR="00487143">
        <w:rPr>
          <w:color w:val="0000FF"/>
          <w:spacing w:val="-2"/>
        </w:rPr>
        <w:t>.</w:t>
      </w:r>
    </w:p>
    <w:p w14:paraId="5D86985C" w14:textId="68EB0BED" w:rsidR="00DB11EA" w:rsidRDefault="00DB11EA" w:rsidP="002020ED">
      <w:pPr>
        <w:pStyle w:val="BodyText"/>
        <w:spacing w:before="240" w:after="240"/>
        <w:ind w:left="105"/>
        <w:rPr>
          <w:spacing w:val="-2"/>
        </w:rPr>
      </w:pPr>
      <w:r w:rsidRPr="005F46C0">
        <w:rPr>
          <w:spacing w:val="-2"/>
        </w:rPr>
        <w:t>This and additions</w:t>
      </w:r>
      <w:r>
        <w:rPr>
          <w:spacing w:val="-2"/>
        </w:rPr>
        <w:t xml:space="preserve"> Materials Bulletins are also found here: </w:t>
      </w:r>
      <w:hyperlink r:id="rId8" w:history="1">
        <w:r w:rsidRPr="00DB11EA">
          <w:rPr>
            <w:rStyle w:val="Hyperlink"/>
            <w:spacing w:val="-2"/>
          </w:rPr>
          <w:t>https://www.codot.gov/business/designsupport/materials-and-geotechnical/materials-bulletins</w:t>
        </w:r>
      </w:hyperlink>
    </w:p>
    <w:p w14:paraId="1C3576F0" w14:textId="77777777" w:rsidR="002020ED" w:rsidRPr="00DB11EA" w:rsidRDefault="002020ED" w:rsidP="002020ED">
      <w:pPr>
        <w:pStyle w:val="BodyText"/>
        <w:spacing w:before="120" w:after="120"/>
        <w:ind w:left="105"/>
      </w:pPr>
    </w:p>
    <w:p w14:paraId="38E84DF6" w14:textId="77777777" w:rsidR="006470B2" w:rsidRDefault="00487143" w:rsidP="002020ED">
      <w:pPr>
        <w:pStyle w:val="BodyText"/>
        <w:spacing w:before="120" w:after="120"/>
        <w:ind w:left="120" w:right="2357" w:hanging="15"/>
      </w:pP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Edward</w:t>
      </w:r>
      <w:r>
        <w:rPr>
          <w:spacing w:val="-6"/>
        </w:rPr>
        <w:t xml:space="preserve"> </w:t>
      </w:r>
      <w:r>
        <w:t>Trujillo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at:</w:t>
      </w:r>
      <w:r>
        <w:rPr>
          <w:spacing w:val="-4"/>
        </w:rPr>
        <w:t xml:space="preserve"> </w:t>
      </w:r>
      <w:hyperlink r:id="rId9">
        <w:r>
          <w:rPr>
            <w:color w:val="0000FF"/>
            <w:u w:val="single" w:color="0000FF"/>
          </w:rPr>
          <w:t>edward.trujillo@state.co.us</w:t>
        </w:r>
      </w:hyperlink>
      <w:r>
        <w:rPr>
          <w:color w:val="0000FF"/>
        </w:rPr>
        <w:t xml:space="preserve"> </w:t>
      </w:r>
      <w:r>
        <w:t>or at 303-304-3468.</w:t>
      </w:r>
    </w:p>
    <w:p w14:paraId="43039F0C" w14:textId="77777777" w:rsidR="006470B2" w:rsidRDefault="006470B2">
      <w:pPr>
        <w:pStyle w:val="BodyText"/>
        <w:rPr>
          <w:sz w:val="20"/>
        </w:rPr>
      </w:pPr>
    </w:p>
    <w:p w14:paraId="7CF9708A" w14:textId="051D7AD8" w:rsidR="006470B2" w:rsidRDefault="00865934">
      <w:pPr>
        <w:pStyle w:val="BodyText"/>
        <w:spacing w:before="2"/>
      </w:pPr>
      <w:r>
        <w:object w:dxaOrig="1532" w:dyaOrig="991" w14:anchorId="4B473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0" o:title=""/>
          </v:shape>
          <o:OLEObject Type="Embed" ProgID="AcroExch.Document.DC" ShapeID="_x0000_i1025" DrawAspect="Icon" ObjectID="_1753162951" r:id="rId11"/>
        </w:object>
      </w:r>
    </w:p>
    <w:sectPr w:rsidR="006470B2">
      <w:type w:val="continuous"/>
      <w:pgSz w:w="12240" w:h="15840"/>
      <w:pgMar w:top="760" w:right="6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wtzQ2NzIyMDUxNrdQ0lEKTi0uzszPAykwqQUAkUmTuCwAAAA="/>
  </w:docVars>
  <w:rsids>
    <w:rsidRoot w:val="006470B2"/>
    <w:rsid w:val="0003124B"/>
    <w:rsid w:val="00033EF9"/>
    <w:rsid w:val="0005490A"/>
    <w:rsid w:val="001B4023"/>
    <w:rsid w:val="002020ED"/>
    <w:rsid w:val="00262B6C"/>
    <w:rsid w:val="00321B80"/>
    <w:rsid w:val="0046792E"/>
    <w:rsid w:val="00487143"/>
    <w:rsid w:val="004928CD"/>
    <w:rsid w:val="00530176"/>
    <w:rsid w:val="005A6B84"/>
    <w:rsid w:val="005C0949"/>
    <w:rsid w:val="005F46C0"/>
    <w:rsid w:val="006470B2"/>
    <w:rsid w:val="006E26D2"/>
    <w:rsid w:val="00706A1C"/>
    <w:rsid w:val="007845E2"/>
    <w:rsid w:val="00865934"/>
    <w:rsid w:val="00A42A18"/>
    <w:rsid w:val="00AA343B"/>
    <w:rsid w:val="00C11331"/>
    <w:rsid w:val="00C57C60"/>
    <w:rsid w:val="00CB2688"/>
    <w:rsid w:val="00DB11EA"/>
    <w:rsid w:val="00F227EA"/>
    <w:rsid w:val="00F43A64"/>
    <w:rsid w:val="00FB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7A4A9"/>
  <w15:docId w15:val="{16BEF6A2-5191-4056-965C-1D88D7EE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1"/>
      <w:ind w:left="2959" w:right="300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Revision">
    <w:name w:val="Revision"/>
    <w:hidden/>
    <w:uiPriority w:val="99"/>
    <w:semiHidden/>
    <w:rsid w:val="00706A1C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33EF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3EF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EA"/>
    <w:rPr>
      <w:rFonts w:ascii="Segoe UI" w:eastAsia="Arial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020ED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11331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materials-and-geotechnical/materials-bulletin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dot.gov/business/designsupport/materials-and-geotechnical/manual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dot.gov/business/designsupport/materials-and-geotechnical/manuals/2024-field-materials-manual/intro-docs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https://www.codot.gov/business/designsupport/materials-and-geotechnical/manuals/2024-field-materials-manual" TargetMode="External"/><Relationship Id="rId10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hyperlink" Target="mailto:edward.trujillo@state.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CONTRACTOR'S PROJECT SAFETY MANAGEMENT PLAN</vt:lpstr>
    </vt:vector>
  </TitlesOfParts>
  <Company>CDOT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CONTRACTOR'S PROJECT SAFETY MANAGEMENT PLAN</dc:title>
  <dc:creator>coyv</dc:creator>
  <cp:lastModifiedBy>Avgeris, Louis</cp:lastModifiedBy>
  <cp:revision>5</cp:revision>
  <dcterms:created xsi:type="dcterms:W3CDTF">2023-08-10T14:25:00Z</dcterms:created>
  <dcterms:modified xsi:type="dcterms:W3CDTF">2023-08-10T14:56:00Z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2022-09-19T00:00:00Z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D:20220503154604</vt:lpwstr>
  </property>
</Properties>
</file>