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C99A" w14:textId="4531B9D1" w:rsidR="009B15AB" w:rsidRPr="001C3C28" w:rsidRDefault="009B15AB" w:rsidP="009B15AB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 xml:space="preserve">Instructions:  </w:t>
      </w:r>
      <w:r w:rsidRPr="001C3C28">
        <w:rPr>
          <w:noProof w:val="0"/>
          <w:color w:val="FF0000"/>
          <w:sz w:val="24"/>
        </w:rPr>
        <w:t xml:space="preserve">E-mail format </w:t>
      </w:r>
      <w:r>
        <w:rPr>
          <w:noProof w:val="0"/>
          <w:color w:val="FF0000"/>
          <w:sz w:val="24"/>
        </w:rPr>
        <w:t>is expected and a separate document is not necessary</w:t>
      </w:r>
      <w:r w:rsidRPr="001C3C28">
        <w:rPr>
          <w:noProof w:val="0"/>
          <w:color w:val="FF0000"/>
          <w:sz w:val="24"/>
        </w:rPr>
        <w:t xml:space="preserve">. Place </w:t>
      </w:r>
      <w:r>
        <w:rPr>
          <w:noProof w:val="0"/>
          <w:color w:val="FF0000"/>
          <w:sz w:val="24"/>
        </w:rPr>
        <w:t xml:space="preserve">a pdf </w:t>
      </w:r>
      <w:r w:rsidRPr="001C3C28">
        <w:rPr>
          <w:noProof w:val="0"/>
          <w:color w:val="FF0000"/>
          <w:sz w:val="24"/>
        </w:rPr>
        <w:t xml:space="preserve">copy </w:t>
      </w:r>
      <w:r>
        <w:rPr>
          <w:noProof w:val="0"/>
          <w:color w:val="FF0000"/>
          <w:sz w:val="24"/>
        </w:rPr>
        <w:t xml:space="preserve">of email </w:t>
      </w:r>
      <w:r w:rsidRPr="001C3C28">
        <w:rPr>
          <w:noProof w:val="0"/>
          <w:color w:val="FF0000"/>
          <w:sz w:val="24"/>
        </w:rPr>
        <w:t>in</w:t>
      </w:r>
      <w:r>
        <w:rPr>
          <w:noProof w:val="0"/>
          <w:color w:val="FF0000"/>
          <w:sz w:val="24"/>
        </w:rPr>
        <w:t>to P</w:t>
      </w:r>
      <w:r w:rsidRPr="001C3C28">
        <w:rPr>
          <w:noProof w:val="0"/>
          <w:color w:val="FF0000"/>
          <w:sz w:val="24"/>
        </w:rPr>
        <w:t>roject</w:t>
      </w:r>
      <w:r>
        <w:rPr>
          <w:noProof w:val="0"/>
          <w:color w:val="FF0000"/>
          <w:sz w:val="24"/>
        </w:rPr>
        <w:t>wise</w:t>
      </w:r>
      <w:r w:rsidRPr="001C3C28">
        <w:rPr>
          <w:noProof w:val="0"/>
          <w:color w:val="FF0000"/>
          <w:sz w:val="24"/>
        </w:rPr>
        <w:t xml:space="preserve">.  This memo is to be used </w:t>
      </w:r>
      <w:r w:rsidR="009975BB">
        <w:rPr>
          <w:noProof w:val="0"/>
          <w:color w:val="FF0000"/>
          <w:sz w:val="24"/>
        </w:rPr>
        <w:t xml:space="preserve">by the consultant </w:t>
      </w:r>
      <w:r w:rsidRPr="001C3C28">
        <w:rPr>
          <w:noProof w:val="0"/>
          <w:color w:val="FF0000"/>
          <w:sz w:val="24"/>
        </w:rPr>
        <w:t xml:space="preserve">for </w:t>
      </w:r>
      <w:r w:rsidR="009A0A57">
        <w:rPr>
          <w:noProof w:val="0"/>
          <w:color w:val="FF0000"/>
          <w:sz w:val="24"/>
        </w:rPr>
        <w:t>veri</w:t>
      </w:r>
      <w:r w:rsidR="009975BB">
        <w:rPr>
          <w:noProof w:val="0"/>
          <w:color w:val="FF0000"/>
          <w:sz w:val="24"/>
        </w:rPr>
        <w:t xml:space="preserve">fying </w:t>
      </w:r>
      <w:r w:rsidR="005E1C05">
        <w:rPr>
          <w:noProof w:val="0"/>
          <w:color w:val="FF0000"/>
          <w:sz w:val="24"/>
        </w:rPr>
        <w:t xml:space="preserve">delivery of </w:t>
      </w:r>
      <w:r w:rsidR="009975BB">
        <w:rPr>
          <w:noProof w:val="0"/>
          <w:color w:val="FF0000"/>
          <w:sz w:val="24"/>
        </w:rPr>
        <w:t>the final</w:t>
      </w:r>
      <w:r w:rsidRPr="001C3C28">
        <w:rPr>
          <w:noProof w:val="0"/>
          <w:color w:val="FF0000"/>
          <w:sz w:val="24"/>
        </w:rPr>
        <w:t xml:space="preserve"> set of plans</w:t>
      </w:r>
      <w:r w:rsidR="005E1C05">
        <w:rPr>
          <w:noProof w:val="0"/>
          <w:color w:val="FF0000"/>
          <w:sz w:val="24"/>
        </w:rPr>
        <w:t xml:space="preserve">, </w:t>
      </w:r>
      <w:r w:rsidRPr="001C3C28">
        <w:rPr>
          <w:noProof w:val="0"/>
          <w:color w:val="FF0000"/>
          <w:sz w:val="24"/>
        </w:rPr>
        <w:t xml:space="preserve"> specifications</w:t>
      </w:r>
      <w:r w:rsidR="005E1C05">
        <w:rPr>
          <w:noProof w:val="0"/>
          <w:color w:val="FF0000"/>
          <w:sz w:val="24"/>
        </w:rPr>
        <w:t xml:space="preserve"> and deliverables</w:t>
      </w:r>
      <w:r w:rsidRPr="001C3C28">
        <w:rPr>
          <w:noProof w:val="0"/>
          <w:color w:val="FF0000"/>
          <w:sz w:val="24"/>
        </w:rPr>
        <w:t xml:space="preserve">, and is to be used for any plans involving </w:t>
      </w:r>
      <w:r w:rsidR="009975BB">
        <w:rPr>
          <w:noProof w:val="0"/>
          <w:color w:val="FF0000"/>
          <w:sz w:val="24"/>
        </w:rPr>
        <w:t xml:space="preserve">consultant </w:t>
      </w:r>
      <w:r w:rsidRPr="001C3C28">
        <w:rPr>
          <w:noProof w:val="0"/>
          <w:color w:val="FF0000"/>
          <w:sz w:val="24"/>
        </w:rPr>
        <w:t>structural work.</w:t>
      </w:r>
      <w:r>
        <w:rPr>
          <w:noProof w:val="0"/>
          <w:color w:val="FF0000"/>
          <w:sz w:val="24"/>
        </w:rPr>
        <w:t xml:space="preserve"> See the name list for current people in positions to send it to.</w:t>
      </w:r>
    </w:p>
    <w:p w14:paraId="0993E8BF" w14:textId="77777777" w:rsidR="009B15AB" w:rsidRDefault="009B15AB" w:rsidP="009B15AB">
      <w:pPr>
        <w:pStyle w:val="body"/>
        <w:jc w:val="both"/>
        <w:rPr>
          <w:noProof w:val="0"/>
          <w:sz w:val="24"/>
        </w:rPr>
      </w:pPr>
    </w:p>
    <w:p w14:paraId="0A54AC06" w14:textId="77777777" w:rsidR="009B15AB" w:rsidRPr="00E1322A" w:rsidRDefault="009B15AB" w:rsidP="009B15AB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>Email Header Input: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470"/>
      </w:tblGrid>
      <w:tr w:rsidR="009B15AB" w:rsidRPr="004E7D0A" w14:paraId="163BA881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82457" w14:textId="77777777" w:rsidR="009B15AB" w:rsidRPr="004E7D0A" w:rsidRDefault="009B15AB" w:rsidP="00065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D0A">
              <w:rPr>
                <w:rFonts w:ascii="Arial" w:eastAsia="Times New Roman" w:hAnsi="Arial" w:cs="Arial"/>
                <w:sz w:val="20"/>
                <w:szCs w:val="20"/>
              </w:rPr>
              <w:t>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065A" w14:textId="0CFA4DEE" w:rsidR="009B15AB" w:rsidRPr="004E7D0A" w:rsidRDefault="009340D2" w:rsidP="00065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Staff Bridge PEII</w:t>
            </w:r>
            <w:r w:rsidR="009B15AB" w:rsidRPr="0031030B">
              <w:t>/Structure Project Engineer</w:t>
            </w:r>
          </w:p>
        </w:tc>
      </w:tr>
      <w:tr w:rsidR="009B15AB" w:rsidRPr="004E7D0A" w14:paraId="1CE33B9B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C0F5E" w14:textId="77777777" w:rsidR="009B15AB" w:rsidRPr="004E7D0A" w:rsidRDefault="009B15AB" w:rsidP="00065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D0A"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64CF6" w14:textId="21DE93F2" w:rsidR="009B15AB" w:rsidRPr="009B15AB" w:rsidRDefault="00D973E3" w:rsidP="00827C15">
            <w:r>
              <w:t>Projectwise Folder</w:t>
            </w:r>
          </w:p>
        </w:tc>
      </w:tr>
      <w:tr w:rsidR="009B15AB" w:rsidRPr="004E7D0A" w14:paraId="016793C5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272AA" w14:textId="77777777" w:rsidR="009B15AB" w:rsidRPr="004E7D0A" w:rsidRDefault="009B15AB" w:rsidP="00065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D0A">
              <w:rPr>
                <w:rFonts w:ascii="Arial" w:eastAsia="Times New Roman" w:hAnsi="Arial" w:cs="Arial"/>
                <w:sz w:val="20"/>
                <w:szCs w:val="20"/>
              </w:rPr>
              <w:t xml:space="preserve">Subject: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5B6EE" w14:textId="12A0E96E" w:rsidR="009B15AB" w:rsidRPr="004E7D0A" w:rsidRDefault="009B15AB" w:rsidP="00065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1030B">
              <w:t>Final Details: Consultant Structural Design</w:t>
            </w:r>
            <w:r>
              <w:t xml:space="preserve"> </w:t>
            </w:r>
            <w:r w:rsidR="005E1C05">
              <w:t>Submittal</w:t>
            </w:r>
            <w:r>
              <w:t xml:space="preserve">, </w:t>
            </w:r>
            <w:r w:rsidRPr="00A36F02">
              <w:t xml:space="preserve">Project </w:t>
            </w:r>
            <w:r w:rsidRPr="000D0AE9">
              <w:rPr>
                <w:highlight w:val="lightGray"/>
              </w:rPr>
              <w:t>#, SA, Description</w:t>
            </w:r>
          </w:p>
        </w:tc>
      </w:tr>
    </w:tbl>
    <w:p w14:paraId="7D9C8EBB" w14:textId="77777777" w:rsidR="009B15AB" w:rsidRDefault="009B15AB" w:rsidP="009B15AB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D362" wp14:editId="1C372102">
                <wp:simplePos x="0" y="0"/>
                <wp:positionH relativeFrom="column">
                  <wp:posOffset>1301750</wp:posOffset>
                </wp:positionH>
                <wp:positionV relativeFrom="paragraph">
                  <wp:posOffset>15875</wp:posOffset>
                </wp:positionV>
                <wp:extent cx="1708785" cy="521970"/>
                <wp:effectExtent l="0" t="0" r="18415" b="1143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4548" w14:textId="77777777" w:rsidR="009B15AB" w:rsidRPr="00DF4CDA" w:rsidRDefault="009B15AB" w:rsidP="009B15AB">
                            <w:pPr>
                              <w:pStyle w:val="returnaddres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1D36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02.5pt;margin-top:1.25pt;width:134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" filled="f" stroked="f">
                <v:textbox inset="0,9.36pt,0,0">
                  <w:txbxContent>
                    <w:p w14:paraId="5A034548" w14:textId="77777777" w:rsidR="009B15AB" w:rsidRPr="00DF4CDA" w:rsidRDefault="009B15AB" w:rsidP="009B15AB">
                      <w:pPr>
                        <w:pStyle w:val="returnaddress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C958A" w14:textId="77777777" w:rsidR="009B15AB" w:rsidRPr="00213194" w:rsidRDefault="009B15AB" w:rsidP="009B15AB">
      <w:pPr>
        <w:tabs>
          <w:tab w:val="left" w:pos="1170"/>
        </w:tabs>
        <w:rPr>
          <w:b/>
          <w:i/>
          <w:color w:val="FF0000"/>
        </w:rPr>
      </w:pPr>
      <w:r w:rsidRPr="00213194">
        <w:rPr>
          <w:b/>
          <w:i/>
          <w:color w:val="FF0000"/>
        </w:rPr>
        <w:t>Body of Email below</w:t>
      </w:r>
      <w:r>
        <w:rPr>
          <w:b/>
          <w:i/>
          <w:color w:val="FF0000"/>
        </w:rPr>
        <w:t xml:space="preserve"> (fill in grayed areas)</w:t>
      </w:r>
    </w:p>
    <w:p w14:paraId="166D1654" w14:textId="77777777" w:rsidR="001616BF" w:rsidRDefault="001616BF" w:rsidP="00D10630">
      <w:pPr>
        <w:pStyle w:val="body"/>
        <w:rPr>
          <w:noProof w:val="0"/>
        </w:rPr>
      </w:pPr>
    </w:p>
    <w:p w14:paraId="4AEED38A" w14:textId="3AE9C5CD" w:rsidR="0031030B" w:rsidRDefault="0031030B" w:rsidP="0031030B">
      <w:r>
        <w:t xml:space="preserve">To the best of our knowledge </w:t>
      </w:r>
      <w:r w:rsidRPr="009B15AB">
        <w:t xml:space="preserve">at </w:t>
      </w:r>
      <w:r w:rsidRPr="009B15AB">
        <w:rPr>
          <w:highlight w:val="lightGray"/>
        </w:rPr>
        <w:t>&lt;Consultant Firm&gt;</w:t>
      </w:r>
      <w:r>
        <w:t xml:space="preserve"> the plans and specifications have been prepared in accordance with the current design and quality control standards of the Department of Transportation and all plan &amp; specification comments have been accepted or resolved.  </w:t>
      </w:r>
      <w:r w:rsidRPr="005436EA">
        <w:t xml:space="preserve">All </w:t>
      </w:r>
      <w:r w:rsidR="00392DE5" w:rsidRPr="005436EA">
        <w:t>project files are available in P</w:t>
      </w:r>
      <w:r w:rsidRPr="005436EA">
        <w:t xml:space="preserve">rojectwise at </w:t>
      </w:r>
      <w:r w:rsidRPr="009B15AB">
        <w:rPr>
          <w:highlight w:val="lightGray"/>
        </w:rPr>
        <w:t>&lt;provide link or location&gt;.</w:t>
      </w:r>
    </w:p>
    <w:p w14:paraId="4736320C" w14:textId="77777777" w:rsidR="0031030B" w:rsidRDefault="0031030B" w:rsidP="0031030B"/>
    <w:p w14:paraId="052AC9D5" w14:textId="033785EC" w:rsidR="0031030B" w:rsidRPr="005436EA" w:rsidRDefault="0031030B" w:rsidP="0031030B">
      <w:r w:rsidRPr="005436EA">
        <w:t>The following submittals as required by the CDOT Bridge Design Manual, Section E.4  on the above-refer</w:t>
      </w:r>
      <w:r w:rsidR="00392DE5" w:rsidRPr="005436EA">
        <w:t>enced project are available in P</w:t>
      </w:r>
      <w:r w:rsidRPr="005436EA">
        <w:t xml:space="preserve">rojectwise at </w:t>
      </w:r>
      <w:r w:rsidRPr="009B15AB">
        <w:rPr>
          <w:highlight w:val="lightGray"/>
        </w:rPr>
        <w:t>&lt;provide link or location&gt;.</w:t>
      </w:r>
    </w:p>
    <w:p w14:paraId="558DB131" w14:textId="77777777" w:rsidR="0031030B" w:rsidRPr="002D7BE2" w:rsidRDefault="0031030B" w:rsidP="0031030B">
      <w:pPr>
        <w:rPr>
          <w:highlight w:val="yellow"/>
        </w:rPr>
      </w:pPr>
    </w:p>
    <w:p w14:paraId="37D38336" w14:textId="77777777" w:rsidR="0031030B" w:rsidRPr="005436EA" w:rsidRDefault="0031030B" w:rsidP="0031030B">
      <w:r w:rsidRPr="005436EA">
        <w:t>A.</w:t>
      </w:r>
      <w:r w:rsidRPr="005436EA">
        <w:tab/>
        <w:t xml:space="preserve">Construction Plans and Specification </w:t>
      </w:r>
    </w:p>
    <w:p w14:paraId="485D835C" w14:textId="77777777" w:rsidR="0031030B" w:rsidRPr="005436EA" w:rsidRDefault="0031030B" w:rsidP="00A47414">
      <w:pPr>
        <w:ind w:left="720"/>
      </w:pPr>
      <w:r w:rsidRPr="005436EA">
        <w:t>1.</w:t>
      </w:r>
      <w:r w:rsidRPr="005436EA">
        <w:tab/>
        <w:t xml:space="preserve">Plans </w:t>
      </w:r>
      <w:r w:rsidRPr="009B15AB">
        <w:rPr>
          <w:highlight w:val="lightGray"/>
        </w:rPr>
        <w:t>&lt;provide link or location</w:t>
      </w:r>
      <w:r w:rsidRPr="005436EA">
        <w:t>&gt;.</w:t>
      </w:r>
    </w:p>
    <w:p w14:paraId="46854AF8" w14:textId="77777777" w:rsidR="0031030B" w:rsidRPr="005436EA" w:rsidRDefault="0031030B" w:rsidP="00A47414">
      <w:pPr>
        <w:ind w:left="720"/>
      </w:pPr>
      <w:r w:rsidRPr="005436EA">
        <w:t>2.</w:t>
      </w:r>
      <w:r w:rsidRPr="005436EA">
        <w:tab/>
        <w:t>Specifications &lt;</w:t>
      </w:r>
      <w:r w:rsidRPr="009B15AB">
        <w:rPr>
          <w:highlight w:val="lightGray"/>
        </w:rPr>
        <w:t>provide link or location</w:t>
      </w:r>
      <w:r w:rsidRPr="005436EA">
        <w:t>&gt;.</w:t>
      </w:r>
    </w:p>
    <w:p w14:paraId="0299F12D" w14:textId="72777A22" w:rsidR="0031030B" w:rsidRPr="005436EA" w:rsidRDefault="0031030B" w:rsidP="0031030B">
      <w:pPr>
        <w:rPr>
          <w:color w:val="FF0000"/>
        </w:rPr>
      </w:pPr>
      <w:r w:rsidRPr="005436EA">
        <w:t>B.</w:t>
      </w:r>
      <w:r w:rsidRPr="005436EA">
        <w:tab/>
        <w:t xml:space="preserve">Reports </w:t>
      </w:r>
      <w:r w:rsidRPr="009B15AB">
        <w:rPr>
          <w:highlight w:val="lightGray"/>
        </w:rPr>
        <w:t>&lt;provide link or location</w:t>
      </w:r>
      <w:r w:rsidR="00F9327E" w:rsidRPr="009B15AB">
        <w:rPr>
          <w:color w:val="FF0000"/>
          <w:highlight w:val="lightGray"/>
        </w:rPr>
        <w:t>(geotechnical or hydraulic as available)</w:t>
      </w:r>
      <w:r w:rsidRPr="005436EA">
        <w:t>&gt;.</w:t>
      </w:r>
      <w:r w:rsidR="005436EA" w:rsidRPr="005436EA">
        <w:t xml:space="preserve"> </w:t>
      </w:r>
    </w:p>
    <w:p w14:paraId="66C60018" w14:textId="4BD00101" w:rsidR="0031030B" w:rsidRPr="005436EA" w:rsidRDefault="0031030B" w:rsidP="0031030B">
      <w:pPr>
        <w:rPr>
          <w:color w:val="FF0000"/>
        </w:rPr>
      </w:pPr>
      <w:r w:rsidRPr="005436EA">
        <w:t>C.</w:t>
      </w:r>
      <w:r w:rsidRPr="005436EA">
        <w:tab/>
        <w:t xml:space="preserve">Design Calculations and Independent Design Check calculations </w:t>
      </w:r>
      <w:r w:rsidRPr="009B15AB">
        <w:rPr>
          <w:highlight w:val="lightGray"/>
        </w:rPr>
        <w:t>&lt;provide link or location</w:t>
      </w:r>
      <w:r w:rsidR="00F9327E" w:rsidRPr="009B15AB">
        <w:rPr>
          <w:highlight w:val="lightGray"/>
        </w:rPr>
        <w:t xml:space="preserve"> </w:t>
      </w:r>
      <w:r w:rsidR="00F9327E" w:rsidRPr="009B15AB">
        <w:rPr>
          <w:color w:val="FF0000"/>
          <w:highlight w:val="lightGray"/>
        </w:rPr>
        <w:t>(not required for designs using M&amp;S standards only)</w:t>
      </w:r>
      <w:r w:rsidRPr="009B15AB">
        <w:rPr>
          <w:highlight w:val="lightGray"/>
        </w:rPr>
        <w:t>&gt;.</w:t>
      </w:r>
      <w:r w:rsidR="005436EA">
        <w:t xml:space="preserve">  </w:t>
      </w:r>
    </w:p>
    <w:p w14:paraId="54FE9421" w14:textId="7A99C674" w:rsidR="0031030B" w:rsidRPr="005436EA" w:rsidRDefault="0031030B" w:rsidP="0031030B">
      <w:pPr>
        <w:rPr>
          <w:color w:val="FF0000"/>
        </w:rPr>
      </w:pPr>
      <w:r w:rsidRPr="005436EA">
        <w:t>D.</w:t>
      </w:r>
      <w:r w:rsidRPr="005436EA">
        <w:tab/>
        <w:t xml:space="preserve">Load Rating Package </w:t>
      </w:r>
      <w:r w:rsidRPr="009B15AB">
        <w:rPr>
          <w:highlight w:val="lightGray"/>
        </w:rPr>
        <w:t>&lt;provide link or location</w:t>
      </w:r>
      <w:r w:rsidR="00F9327E" w:rsidRPr="009B15AB">
        <w:rPr>
          <w:highlight w:val="lightGray"/>
        </w:rPr>
        <w:t xml:space="preserve"> </w:t>
      </w:r>
      <w:r w:rsidR="00F9327E" w:rsidRPr="009B15AB">
        <w:rPr>
          <w:color w:val="FF0000"/>
          <w:highlight w:val="lightGray"/>
        </w:rPr>
        <w:t>(only for bridges/minors per rating manual)</w:t>
      </w:r>
      <w:r w:rsidRPr="009B15AB">
        <w:rPr>
          <w:highlight w:val="lightGray"/>
        </w:rPr>
        <w:t>&gt;.</w:t>
      </w:r>
      <w:r w:rsidR="005436EA" w:rsidRPr="005436EA">
        <w:t xml:space="preserve">  </w:t>
      </w:r>
    </w:p>
    <w:p w14:paraId="6C7F87AA" w14:textId="77777777" w:rsidR="0031030B" w:rsidRDefault="0031030B" w:rsidP="0031030B"/>
    <w:p w14:paraId="73847200" w14:textId="77777777" w:rsidR="0031030B" w:rsidRDefault="0031030B" w:rsidP="0031030B">
      <w:r>
        <w:t>The following Standard Special Provisions are required:</w:t>
      </w:r>
    </w:p>
    <w:p w14:paraId="3B1663E9" w14:textId="77777777" w:rsidR="0031030B" w:rsidRDefault="0031030B" w:rsidP="0031030B"/>
    <w:p w14:paraId="6503A980" w14:textId="77777777" w:rsidR="0031030B" w:rsidRDefault="0031030B" w:rsidP="0031030B">
      <w:r>
        <w:tab/>
        <w:t>Revision of Section</w:t>
      </w:r>
    </w:p>
    <w:p w14:paraId="588A74C1" w14:textId="77777777" w:rsidR="0031030B" w:rsidRDefault="0031030B" w:rsidP="0031030B">
      <w:r>
        <w:tab/>
        <w:t>Revision of Section</w:t>
      </w:r>
    </w:p>
    <w:p w14:paraId="52AE0779" w14:textId="77777777" w:rsidR="0031030B" w:rsidRDefault="0031030B" w:rsidP="0031030B">
      <w:r>
        <w:tab/>
        <w:t>Revision of Section</w:t>
      </w:r>
    </w:p>
    <w:p w14:paraId="7961945B" w14:textId="77777777" w:rsidR="0031030B" w:rsidRDefault="0031030B" w:rsidP="0031030B">
      <w:r>
        <w:tab/>
        <w:t>Revision of Section</w:t>
      </w:r>
    </w:p>
    <w:p w14:paraId="2F855A60" w14:textId="77777777" w:rsidR="0031030B" w:rsidRDefault="0031030B" w:rsidP="0031030B"/>
    <w:p w14:paraId="29E8DD55" w14:textId="77777777" w:rsidR="0031030B" w:rsidRDefault="0031030B" w:rsidP="0031030B">
      <w:r>
        <w:t>The following M &amp; S Standards are required.</w:t>
      </w:r>
    </w:p>
    <w:p w14:paraId="657FD227" w14:textId="77777777" w:rsidR="0031030B" w:rsidRDefault="0031030B" w:rsidP="0031030B"/>
    <w:p w14:paraId="73AE1EEC" w14:textId="77777777" w:rsidR="0031030B" w:rsidRDefault="0031030B" w:rsidP="0031030B">
      <w:r>
        <w:tab/>
        <w:t>M-</w:t>
      </w:r>
    </w:p>
    <w:p w14:paraId="79E52E21" w14:textId="77777777" w:rsidR="0031030B" w:rsidRDefault="0031030B" w:rsidP="0031030B">
      <w:r>
        <w:tab/>
        <w:t>S-</w:t>
      </w:r>
    </w:p>
    <w:p w14:paraId="030AFB0A" w14:textId="77777777" w:rsidR="00A949DE" w:rsidRDefault="00A949DE" w:rsidP="0031030B"/>
    <w:p w14:paraId="47675488" w14:textId="2F82C756" w:rsidR="001B271F" w:rsidRPr="009D2460" w:rsidRDefault="0031030B" w:rsidP="009B15AB">
      <w:r>
        <w:t>Attachments</w:t>
      </w:r>
      <w:r w:rsidR="009D2460">
        <w:tab/>
      </w:r>
    </w:p>
    <w:sectPr w:rsidR="001B271F" w:rsidRPr="009D2460" w:rsidSect="00010F16">
      <w:footerReference w:type="default" r:id="rId7"/>
      <w:headerReference w:type="first" r:id="rId8"/>
      <w:footerReference w:type="first" r:id="rId9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B13F" w14:textId="77777777" w:rsidR="00B41DD1" w:rsidRDefault="00B41DD1" w:rsidP="00370CDA">
      <w:r>
        <w:separator/>
      </w:r>
    </w:p>
  </w:endnote>
  <w:endnote w:type="continuationSeparator" w:id="0">
    <w:p w14:paraId="78D37148" w14:textId="77777777" w:rsidR="00B41DD1" w:rsidRDefault="00B41DD1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09F19A1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6B8429B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7761104F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C9B" w14:textId="77777777" w:rsidR="00B41DD1" w:rsidRDefault="00B41DD1" w:rsidP="00370CDA">
      <w:r>
        <w:separator/>
      </w:r>
    </w:p>
  </w:footnote>
  <w:footnote w:type="continuationSeparator" w:id="0">
    <w:p w14:paraId="7F6AED8A" w14:textId="77777777" w:rsidR="00B41DD1" w:rsidRDefault="00B41DD1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8702464">
    <w:abstractNumId w:val="10"/>
  </w:num>
  <w:num w:numId="2" w16cid:durableId="968166666">
    <w:abstractNumId w:val="8"/>
  </w:num>
  <w:num w:numId="3" w16cid:durableId="1043822226">
    <w:abstractNumId w:val="7"/>
  </w:num>
  <w:num w:numId="4" w16cid:durableId="826165579">
    <w:abstractNumId w:val="6"/>
  </w:num>
  <w:num w:numId="5" w16cid:durableId="2107074022">
    <w:abstractNumId w:val="5"/>
  </w:num>
  <w:num w:numId="6" w16cid:durableId="1955791849">
    <w:abstractNumId w:val="9"/>
  </w:num>
  <w:num w:numId="7" w16cid:durableId="1522431801">
    <w:abstractNumId w:val="4"/>
  </w:num>
  <w:num w:numId="8" w16cid:durableId="1886214101">
    <w:abstractNumId w:val="3"/>
  </w:num>
  <w:num w:numId="9" w16cid:durableId="1680624053">
    <w:abstractNumId w:val="2"/>
  </w:num>
  <w:num w:numId="10" w16cid:durableId="1728381389">
    <w:abstractNumId w:val="1"/>
  </w:num>
  <w:num w:numId="11" w16cid:durableId="3192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10F16"/>
    <w:rsid w:val="0001139B"/>
    <w:rsid w:val="000138F2"/>
    <w:rsid w:val="00024721"/>
    <w:rsid w:val="000A14EB"/>
    <w:rsid w:val="000A623E"/>
    <w:rsid w:val="000C5390"/>
    <w:rsid w:val="000C7E14"/>
    <w:rsid w:val="000D0AE9"/>
    <w:rsid w:val="000D45BD"/>
    <w:rsid w:val="000E041E"/>
    <w:rsid w:val="000E2909"/>
    <w:rsid w:val="0013129E"/>
    <w:rsid w:val="001616BF"/>
    <w:rsid w:val="001B271F"/>
    <w:rsid w:val="001B6A30"/>
    <w:rsid w:val="0022258C"/>
    <w:rsid w:val="00227D3C"/>
    <w:rsid w:val="00252599"/>
    <w:rsid w:val="00260ACC"/>
    <w:rsid w:val="00283E9E"/>
    <w:rsid w:val="002844AC"/>
    <w:rsid w:val="002B5B5E"/>
    <w:rsid w:val="002C1694"/>
    <w:rsid w:val="002C1D2E"/>
    <w:rsid w:val="002D7BE2"/>
    <w:rsid w:val="0031030B"/>
    <w:rsid w:val="00370CDA"/>
    <w:rsid w:val="00380A42"/>
    <w:rsid w:val="00392DE5"/>
    <w:rsid w:val="00431614"/>
    <w:rsid w:val="004569A4"/>
    <w:rsid w:val="004646B6"/>
    <w:rsid w:val="004744F3"/>
    <w:rsid w:val="00483573"/>
    <w:rsid w:val="004F4F9D"/>
    <w:rsid w:val="004F6211"/>
    <w:rsid w:val="00506091"/>
    <w:rsid w:val="00514DFB"/>
    <w:rsid w:val="00532AC2"/>
    <w:rsid w:val="00537837"/>
    <w:rsid w:val="005436EA"/>
    <w:rsid w:val="00584919"/>
    <w:rsid w:val="0058513F"/>
    <w:rsid w:val="005A69A1"/>
    <w:rsid w:val="005E1C05"/>
    <w:rsid w:val="00650A7A"/>
    <w:rsid w:val="0065225F"/>
    <w:rsid w:val="0076487B"/>
    <w:rsid w:val="00766707"/>
    <w:rsid w:val="007918A9"/>
    <w:rsid w:val="00827C15"/>
    <w:rsid w:val="00871ADF"/>
    <w:rsid w:val="008D359C"/>
    <w:rsid w:val="0091703F"/>
    <w:rsid w:val="009340D2"/>
    <w:rsid w:val="009351BA"/>
    <w:rsid w:val="0093767A"/>
    <w:rsid w:val="00951165"/>
    <w:rsid w:val="009975BB"/>
    <w:rsid w:val="009A0A57"/>
    <w:rsid w:val="009B15AB"/>
    <w:rsid w:val="009B7DA8"/>
    <w:rsid w:val="009D2460"/>
    <w:rsid w:val="009F63B1"/>
    <w:rsid w:val="00A36F02"/>
    <w:rsid w:val="00A42DF3"/>
    <w:rsid w:val="00A47414"/>
    <w:rsid w:val="00A63BE1"/>
    <w:rsid w:val="00A94198"/>
    <w:rsid w:val="00A949DE"/>
    <w:rsid w:val="00AB309D"/>
    <w:rsid w:val="00AB415A"/>
    <w:rsid w:val="00B41DD1"/>
    <w:rsid w:val="00B82C26"/>
    <w:rsid w:val="00B92A5C"/>
    <w:rsid w:val="00BB4F18"/>
    <w:rsid w:val="00BB5A81"/>
    <w:rsid w:val="00BF0EE0"/>
    <w:rsid w:val="00C517B1"/>
    <w:rsid w:val="00C91D03"/>
    <w:rsid w:val="00CA6E16"/>
    <w:rsid w:val="00CD2219"/>
    <w:rsid w:val="00D10630"/>
    <w:rsid w:val="00D218D7"/>
    <w:rsid w:val="00D33DC1"/>
    <w:rsid w:val="00D55128"/>
    <w:rsid w:val="00D66DA1"/>
    <w:rsid w:val="00D7585B"/>
    <w:rsid w:val="00D93BEF"/>
    <w:rsid w:val="00D973E3"/>
    <w:rsid w:val="00DC62AA"/>
    <w:rsid w:val="00E42493"/>
    <w:rsid w:val="00E77696"/>
    <w:rsid w:val="00EB6486"/>
    <w:rsid w:val="00EE405D"/>
    <w:rsid w:val="00EF64A8"/>
    <w:rsid w:val="00F10BE5"/>
    <w:rsid w:val="00F718C1"/>
    <w:rsid w:val="00F7767D"/>
    <w:rsid w:val="00F9327E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Pott, Andrew</cp:lastModifiedBy>
  <cp:revision>12</cp:revision>
  <cp:lastPrinted>2015-03-27T16:25:00Z</cp:lastPrinted>
  <dcterms:created xsi:type="dcterms:W3CDTF">2020-12-07T16:06:00Z</dcterms:created>
  <dcterms:modified xsi:type="dcterms:W3CDTF">2022-09-08T20:31:00Z</dcterms:modified>
</cp:coreProperties>
</file>