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27E8" w14:textId="77777777" w:rsidR="00BE19BC" w:rsidRDefault="00000000">
      <w:pPr>
        <w:spacing w:after="200"/>
        <w:jc w:val="center"/>
        <w:rPr>
          <w:b/>
        </w:rPr>
      </w:pPr>
      <w:r>
        <w:rPr>
          <w:b/>
        </w:rPr>
        <w:t>Preparing for TPR/MPO MMOF Project Evaluation/Selection</w:t>
      </w:r>
    </w:p>
    <w:p w14:paraId="05ADB5A5" w14:textId="46FE2F52" w:rsidR="00BE19BC" w:rsidRDefault="00000000">
      <w:r>
        <w:t>The following criteria are provided for TPRs to consider when creating an evaluation system for scoring applications. TPR/RPCs may choose criteria from this menu, modify the suggested criteria, and/or select additional criteria that are not listed, based on preferences.</w:t>
      </w:r>
      <w:r w:rsidR="00A352CC">
        <w:t xml:space="preserve"> </w:t>
      </w:r>
      <w:r w:rsidR="00A352CC" w:rsidRPr="00A352CC">
        <w:t>Applicants should inquire with their TPR for the criteria applicable in their region.</w:t>
      </w:r>
    </w:p>
    <w:p w14:paraId="741E1D8E" w14:textId="77777777" w:rsidR="00BE19BC" w:rsidRDefault="00BE19BC"/>
    <w:p w14:paraId="4260CDA4" w14:textId="6230FD73" w:rsidR="00BE19BC" w:rsidRDefault="00A352CC">
      <w:pPr>
        <w:rPr>
          <w:b/>
        </w:rPr>
      </w:pPr>
      <w:r>
        <w:rPr>
          <w:b/>
        </w:rPr>
        <w:t>Possible</w:t>
      </w:r>
      <w:r w:rsidR="00000000">
        <w:rPr>
          <w:b/>
        </w:rPr>
        <w:t xml:space="preserve"> MMOF Scoring Criteria:</w:t>
      </w:r>
    </w:p>
    <w:p w14:paraId="16BDEC90" w14:textId="77777777" w:rsidR="00BE19BC" w:rsidRDefault="00000000">
      <w:pPr>
        <w:numPr>
          <w:ilvl w:val="0"/>
          <w:numId w:val="1"/>
        </w:numPr>
        <w:spacing w:after="160"/>
      </w:pPr>
      <w:r>
        <w:t>Network/Modal Connectivity - Project seeks to contribute to a complete bicycle, pedestrian and/or transit network by closing gaps, extending routes or providing crucial intermodal connections.</w:t>
      </w:r>
    </w:p>
    <w:p w14:paraId="0F291DF1" w14:textId="2843633E" w:rsidR="00BE19BC" w:rsidRDefault="00000000">
      <w:pPr>
        <w:numPr>
          <w:ilvl w:val="0"/>
          <w:numId w:val="1"/>
        </w:numPr>
        <w:spacing w:after="160"/>
      </w:pPr>
      <w:r>
        <w:t>Safety - Project</w:t>
      </w:r>
      <w:r w:rsidR="00A352CC">
        <w:t xml:space="preserve"> improves roadway safety for non-motorized users</w:t>
      </w:r>
      <w:r>
        <w:t xml:space="preserve"> </w:t>
      </w:r>
      <w:r w:rsidR="00A352CC">
        <w:t xml:space="preserve">by </w:t>
      </w:r>
      <w:r w:rsidR="00A352CC">
        <w:t>provid</w:t>
      </w:r>
      <w:r w:rsidR="00A352CC">
        <w:t>ing</w:t>
      </w:r>
      <w:r w:rsidR="00A352CC">
        <w:t xml:space="preserve"> a shared use path</w:t>
      </w:r>
      <w:r w:rsidR="00A352CC">
        <w:t xml:space="preserve">, </w:t>
      </w:r>
      <w:r w:rsidR="00A352CC">
        <w:t>enhanc</w:t>
      </w:r>
      <w:r w:rsidR="00A352CC">
        <w:t>ing</w:t>
      </w:r>
      <w:r w:rsidR="00A352CC">
        <w:t xml:space="preserve"> separation from motorized vehicles</w:t>
      </w:r>
      <w:r w:rsidR="00A352CC">
        <w:t xml:space="preserve"> or </w:t>
      </w:r>
      <w:r>
        <w:t xml:space="preserve">includes </w:t>
      </w:r>
      <w:r w:rsidR="00A352CC">
        <w:t xml:space="preserve">other </w:t>
      </w:r>
      <w:r>
        <w:t xml:space="preserve">countermeasures from </w:t>
      </w:r>
      <w:hyperlink r:id="rId7">
        <w:r>
          <w:rPr>
            <w:color w:val="1155CC"/>
            <w:u w:val="single"/>
          </w:rPr>
          <w:t>FHWA’s Proven Safety Countermeasures initiative (</w:t>
        </w:r>
        <w:proofErr w:type="spellStart"/>
        <w:r>
          <w:rPr>
            <w:color w:val="1155CC"/>
            <w:u w:val="single"/>
          </w:rPr>
          <w:t>PSCi</w:t>
        </w:r>
        <w:proofErr w:type="spellEnd"/>
        <w:r>
          <w:rPr>
            <w:color w:val="1155CC"/>
            <w:u w:val="single"/>
          </w:rPr>
          <w:t>)</w:t>
        </w:r>
      </w:hyperlink>
      <w:r w:rsidR="00A352CC">
        <w:t>.</w:t>
      </w:r>
    </w:p>
    <w:p w14:paraId="376E60EC" w14:textId="77777777" w:rsidR="00BE19BC" w:rsidRDefault="00000000">
      <w:pPr>
        <w:numPr>
          <w:ilvl w:val="0"/>
          <w:numId w:val="1"/>
        </w:numPr>
        <w:spacing w:after="160"/>
      </w:pPr>
      <w:r>
        <w:t>Greenhouse Gas (GHG) Reduction - Project reduces GHG by reducing Vehicle Miles Traveled (VMT) or increasing multimodal travel.</w:t>
      </w:r>
    </w:p>
    <w:p w14:paraId="20890452" w14:textId="77777777" w:rsidR="00BE19BC" w:rsidRDefault="00000000">
      <w:pPr>
        <w:numPr>
          <w:ilvl w:val="0"/>
          <w:numId w:val="1"/>
        </w:numPr>
        <w:spacing w:after="160"/>
      </w:pPr>
      <w:r>
        <w:t xml:space="preserve">Equity - Project </w:t>
      </w:r>
      <w:proofErr w:type="gramStart"/>
      <w:r>
        <w:t>is located in</w:t>
      </w:r>
      <w:proofErr w:type="gramEnd"/>
      <w:r>
        <w:t xml:space="preserve"> or provides benefits to Disproportionately Impacted (DI) communities or to underserved and disadvantaged community members.</w:t>
      </w:r>
    </w:p>
    <w:p w14:paraId="43777550" w14:textId="77777777" w:rsidR="00BE19BC" w:rsidRDefault="00000000">
      <w:pPr>
        <w:numPr>
          <w:ilvl w:val="0"/>
          <w:numId w:val="1"/>
        </w:numPr>
        <w:spacing w:after="160"/>
      </w:pPr>
      <w:r>
        <w:t>Quality of Life and Public Health - Project provides access to medical facilities and services or to recreation areas, increases active transportation or provides other quality-of-life benefits.</w:t>
      </w:r>
    </w:p>
    <w:p w14:paraId="58DC4864" w14:textId="77777777" w:rsidR="00BE19BC" w:rsidRDefault="00000000">
      <w:pPr>
        <w:numPr>
          <w:ilvl w:val="0"/>
          <w:numId w:val="1"/>
        </w:numPr>
        <w:spacing w:after="160"/>
      </w:pPr>
      <w:r>
        <w:t>Economic Impact - Project increases access to/from/within employment or economic centers, bolsters tourism or commerce, or decreases the burden on local resources.</w:t>
      </w:r>
    </w:p>
    <w:p w14:paraId="15D2055D" w14:textId="77777777" w:rsidR="00BE19BC" w:rsidRDefault="00000000">
      <w:pPr>
        <w:numPr>
          <w:ilvl w:val="0"/>
          <w:numId w:val="1"/>
        </w:numPr>
        <w:spacing w:after="160"/>
      </w:pPr>
      <w:r>
        <w:t>Cost-Benefit - Project provides substantial Local MMOF program goal benefits relative to the total cost of the project (not just the MMOF request amount).</w:t>
      </w:r>
    </w:p>
    <w:p w14:paraId="35247CE1" w14:textId="77777777" w:rsidR="00BE19BC" w:rsidRDefault="00000000">
      <w:pPr>
        <w:numPr>
          <w:ilvl w:val="0"/>
          <w:numId w:val="1"/>
        </w:numPr>
        <w:spacing w:after="160"/>
      </w:pPr>
      <w:r>
        <w:t>Local/Community Support - Project is included in or supports the goals and strategies of local or regional plans; Project has broad support among affected local governments, partner agencies or vested public stakeholders, as demonstrated by letters of support and/or documented public feedback.</w:t>
      </w:r>
    </w:p>
    <w:p w14:paraId="53D79123" w14:textId="7233CBEA" w:rsidR="00BE19BC" w:rsidRDefault="00000000">
      <w:pPr>
        <w:numPr>
          <w:ilvl w:val="0"/>
          <w:numId w:val="1"/>
        </w:numPr>
        <w:spacing w:after="160"/>
      </w:pPr>
      <w:r>
        <w:t xml:space="preserve">Application quality - Application is completed fully; Questions are answered clearly and fully; The application provides the information necessary to effectively evaluate the scope, quality and benefits of the project; Applicant addresses any scope, readiness, and budget concerns raised in CDOT </w:t>
      </w:r>
      <w:r w:rsidR="00107E36">
        <w:t>review.</w:t>
      </w:r>
    </w:p>
    <w:p w14:paraId="0FE7DDE9" w14:textId="77777777" w:rsidR="00BE19BC" w:rsidRDefault="00000000">
      <w:pPr>
        <w:spacing w:after="160"/>
        <w:rPr>
          <w:b/>
        </w:rPr>
      </w:pPr>
      <w:r>
        <w:rPr>
          <w:b/>
        </w:rPr>
        <w:t>Suggestions to determine a basic scoring method:</w:t>
      </w:r>
    </w:p>
    <w:p w14:paraId="4D38E03A" w14:textId="3A6EF163" w:rsidR="00BE19BC" w:rsidRDefault="00000000">
      <w:pPr>
        <w:numPr>
          <w:ilvl w:val="0"/>
          <w:numId w:val="2"/>
        </w:numPr>
      </w:pPr>
      <w:r>
        <w:t>Select criteria from above or add others that represent the qualities by which the TPR wishes to evaluate and compare competing projects.</w:t>
      </w:r>
      <w:r w:rsidR="00107E36">
        <w:t xml:space="preserve"> Modify the scoring template on the following page accordingly.</w:t>
      </w:r>
    </w:p>
    <w:p w14:paraId="19FEEDD6" w14:textId="77777777" w:rsidR="00BE19BC" w:rsidRDefault="00000000">
      <w:pPr>
        <w:numPr>
          <w:ilvl w:val="0"/>
          <w:numId w:val="2"/>
        </w:numPr>
      </w:pPr>
      <w:r>
        <w:t>Next, assign point values to each of the criteria based on your Region’s relative priorities, or simply assign the same value to each (for example, 10 points each).</w:t>
      </w:r>
    </w:p>
    <w:p w14:paraId="63F6D945" w14:textId="77777777" w:rsidR="00BE19BC" w:rsidRDefault="00000000">
      <w:pPr>
        <w:numPr>
          <w:ilvl w:val="0"/>
          <w:numId w:val="2"/>
        </w:numPr>
      </w:pPr>
      <w:r>
        <w:t>When distributing application announcements and materials, include these criteria descriptions.</w:t>
      </w:r>
    </w:p>
    <w:p w14:paraId="0FFA248E" w14:textId="77777777" w:rsidR="00BE19BC" w:rsidRDefault="00000000">
      <w:pPr>
        <w:numPr>
          <w:ilvl w:val="0"/>
          <w:numId w:val="2"/>
        </w:numPr>
        <w:spacing w:after="160"/>
      </w:pPr>
      <w:r>
        <w:t>Use the resulting scoring template to evaluate and rank-order submitted applications.</w:t>
      </w:r>
      <w:r>
        <w:br w:type="page"/>
      </w:r>
    </w:p>
    <w:p w14:paraId="0A591210" w14:textId="77777777" w:rsidR="00BE19BC" w:rsidRDefault="00000000" w:rsidP="00107E36">
      <w:pPr>
        <w:spacing w:before="240" w:after="240"/>
      </w:pPr>
      <w:r>
        <w:lastRenderedPageBreak/>
        <w:t>MMOF Project Selections – Project Evaluation template</w:t>
      </w:r>
    </w:p>
    <w:tbl>
      <w:tblPr>
        <w:tblStyle w:val="a"/>
        <w:tblW w:w="10530" w:type="dxa"/>
        <w:tblInd w:w="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285"/>
        <w:gridCol w:w="1230"/>
        <w:gridCol w:w="1830"/>
        <w:gridCol w:w="4185"/>
      </w:tblGrid>
      <w:tr w:rsidR="00BE19BC" w14:paraId="75B91B12" w14:textId="77777777" w:rsidTr="00B53E39">
        <w:trPr>
          <w:trHeight w:val="975"/>
        </w:trPr>
        <w:tc>
          <w:tcPr>
            <w:tcW w:w="3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6A550" w14:textId="77777777" w:rsidR="00BE19BC" w:rsidRDefault="00000000" w:rsidP="00107E36">
            <w:pPr>
              <w:spacing w:before="240" w:after="240"/>
              <w:ind w:right="45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D0BC0F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>Points Possible</w:t>
            </w:r>
          </w:p>
        </w:tc>
        <w:tc>
          <w:tcPr>
            <w:tcW w:w="183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B8F06" w14:textId="77777777" w:rsidR="00BE19BC" w:rsidRDefault="00000000" w:rsidP="00107E36">
            <w:pPr>
              <w:spacing w:before="240" w:after="240"/>
              <w:ind w:right="45"/>
              <w:jc w:val="center"/>
              <w:rPr>
                <w:b/>
              </w:rPr>
            </w:pPr>
            <w:r>
              <w:rPr>
                <w:b/>
              </w:rPr>
              <w:t>Project Score</w:t>
            </w:r>
          </w:p>
        </w:tc>
        <w:tc>
          <w:tcPr>
            <w:tcW w:w="41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3AB185" w14:textId="77777777" w:rsidR="00BE19BC" w:rsidRDefault="00000000" w:rsidP="00107E36">
            <w:pPr>
              <w:spacing w:before="240" w:after="240"/>
              <w:ind w:left="31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E19BC" w14:paraId="2948EC5A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086FC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Network/Modal Connectivity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75EB9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98546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A8C66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4E0BA09C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FF8DE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Safety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5FBD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493EE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BC2C4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1FE27F48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D5E7C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GHG Reduction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7E69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440EF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BF2E8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42FFA67C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9AE32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Equity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C811D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22448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A39E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57A90622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2C4D4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Quality of Life and Public Health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5D46D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34A85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E7987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1DBF01E9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D3B3E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Economic Impact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67AC9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152E0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3DC1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09827C3A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91798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Cost/benefit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F4CB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DC9AB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E6843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37127560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48526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Local/Community Support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50477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942FC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BC431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0004378F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DBB2A" w14:textId="77777777" w:rsidR="00BE19BC" w:rsidRDefault="00000000" w:rsidP="00107E36">
            <w:pPr>
              <w:spacing w:before="240" w:after="240"/>
              <w:ind w:right="45"/>
              <w:rPr>
                <w:b/>
              </w:rPr>
            </w:pPr>
            <w:r>
              <w:rPr>
                <w:b/>
              </w:rPr>
              <w:t>Application Quality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22B8D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D8C46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B4147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7BE6FCA3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4189B" w14:textId="77777777" w:rsidR="00BE19BC" w:rsidRDefault="00000000" w:rsidP="00107E36">
            <w:pPr>
              <w:spacing w:before="240" w:after="240"/>
              <w:ind w:right="45"/>
              <w:rPr>
                <w:i/>
              </w:rPr>
            </w:pPr>
            <w:r>
              <w:rPr>
                <w:i/>
              </w:rPr>
              <w:t>…other…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DBDB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0B9DE" w14:textId="77777777" w:rsidR="00BE19BC" w:rsidRDefault="00000000" w:rsidP="00107E36">
            <w:pPr>
              <w:spacing w:before="240" w:after="240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74CE6" w14:textId="77777777" w:rsidR="00BE19BC" w:rsidRDefault="00000000" w:rsidP="00107E36">
            <w:pPr>
              <w:spacing w:before="240" w:after="240"/>
              <w:ind w:right="45"/>
              <w:jc w:val="center"/>
            </w:pPr>
            <w: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DBF77" w14:textId="77777777" w:rsidR="00BE19BC" w:rsidRDefault="00000000" w:rsidP="00107E36">
            <w:pPr>
              <w:spacing w:before="240" w:after="240"/>
              <w:ind w:left="31"/>
            </w:pPr>
            <w:r>
              <w:t xml:space="preserve"> </w:t>
            </w:r>
          </w:p>
        </w:tc>
      </w:tr>
      <w:tr w:rsidR="00BE19BC" w14:paraId="3B8A286D" w14:textId="77777777" w:rsidTr="00B53E39">
        <w:trPr>
          <w:trHeight w:val="975"/>
        </w:trPr>
        <w:tc>
          <w:tcPr>
            <w:tcW w:w="328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6F332" w14:textId="77777777" w:rsidR="00BE19BC" w:rsidRDefault="00000000" w:rsidP="00107E36">
            <w:pPr>
              <w:spacing w:before="240" w:after="240" w:line="247" w:lineRule="auto"/>
              <w:ind w:right="45"/>
              <w:rPr>
                <w:b/>
              </w:rPr>
            </w:pPr>
            <w:r>
              <w:rPr>
                <w:b/>
              </w:rPr>
              <w:t xml:space="preserve">   Total Points: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CBA47" w14:textId="77777777" w:rsidR="00BE19BC" w:rsidRDefault="00000000" w:rsidP="00107E36">
            <w:pPr>
              <w:spacing w:before="240" w:after="240" w:line="247" w:lineRule="auto"/>
              <w:ind w:right="1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0BF6" w14:textId="77777777" w:rsidR="00BE19BC" w:rsidRDefault="00000000" w:rsidP="00107E36">
            <w:pPr>
              <w:spacing w:before="240" w:after="240" w:line="247" w:lineRule="auto"/>
              <w:ind w:right="4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EB1DC" w14:textId="77777777" w:rsidR="00BE19BC" w:rsidRDefault="00000000" w:rsidP="00107E36">
            <w:pPr>
              <w:spacing w:before="240" w:after="240" w:line="247" w:lineRule="auto"/>
              <w:ind w:left="3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E3DBFD4" w14:textId="77777777" w:rsidR="00BE19BC" w:rsidRDefault="00000000" w:rsidP="00107E36">
      <w:pPr>
        <w:spacing w:before="240" w:after="240"/>
      </w:pPr>
      <w:r>
        <w:t xml:space="preserve"> </w:t>
      </w:r>
    </w:p>
    <w:sectPr w:rsidR="00BE19BC" w:rsidSect="00107E36">
      <w:headerReference w:type="default" r:id="rId8"/>
      <w:pgSz w:w="12240" w:h="15840"/>
      <w:pgMar w:top="1080" w:right="720" w:bottom="108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B99C" w14:textId="77777777" w:rsidR="009229ED" w:rsidRDefault="009229ED">
      <w:pPr>
        <w:spacing w:line="240" w:lineRule="auto"/>
      </w:pPr>
      <w:r>
        <w:separator/>
      </w:r>
    </w:p>
  </w:endnote>
  <w:endnote w:type="continuationSeparator" w:id="0">
    <w:p w14:paraId="25FC525E" w14:textId="77777777" w:rsidR="009229ED" w:rsidRDefault="0092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66384" w14:textId="77777777" w:rsidR="009229ED" w:rsidRDefault="009229ED">
      <w:pPr>
        <w:spacing w:line="240" w:lineRule="auto"/>
      </w:pPr>
      <w:r>
        <w:separator/>
      </w:r>
    </w:p>
  </w:footnote>
  <w:footnote w:type="continuationSeparator" w:id="0">
    <w:p w14:paraId="0886C20A" w14:textId="77777777" w:rsidR="009229ED" w:rsidRDefault="00922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A856" w14:textId="77777777" w:rsidR="00BE19BC" w:rsidRDefault="00BE1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35011"/>
    <w:multiLevelType w:val="multilevel"/>
    <w:tmpl w:val="D72C35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00B24D2"/>
    <w:multiLevelType w:val="multilevel"/>
    <w:tmpl w:val="87425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42461">
    <w:abstractNumId w:val="1"/>
  </w:num>
  <w:num w:numId="2" w16cid:durableId="18415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BC"/>
    <w:rsid w:val="00107E36"/>
    <w:rsid w:val="00394CD1"/>
    <w:rsid w:val="005E213E"/>
    <w:rsid w:val="009229ED"/>
    <w:rsid w:val="00A352CC"/>
    <w:rsid w:val="00A92965"/>
    <w:rsid w:val="00B53E39"/>
    <w:rsid w:val="00B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0362"/>
  <w15:docId w15:val="{56F4FC8C-B72C-4542-B500-F4C55450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ghways.dot.gov/safety/proven-safety-countermeas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495</Words>
  <Characters>2823</Characters>
  <Application>Microsoft Office Word</Application>
  <DocSecurity>0</DocSecurity>
  <Lines>23</Lines>
  <Paragraphs>6</Paragraphs>
  <ScaleCrop>false</ScaleCrop>
  <Company>OIT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Snow, Michael</cp:lastModifiedBy>
  <cp:revision>4</cp:revision>
  <dcterms:created xsi:type="dcterms:W3CDTF">2024-07-29T15:40:00Z</dcterms:created>
  <dcterms:modified xsi:type="dcterms:W3CDTF">2024-08-27T17:37:00Z</dcterms:modified>
</cp:coreProperties>
</file>