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ind w:left="1080" w:firstLine="0"/>
        <w:jc w:val="center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b w:val="1"/>
          <w:sz w:val="24"/>
          <w:szCs w:val="24"/>
          <w:shd w:fill="fff2cc" w:val="clear"/>
          <w:rtl w:val="0"/>
        </w:rPr>
        <w:t xml:space="preserve">PLEASE MAKE A COPY BEFORE FILLING OUT</w:t>
      </w:r>
    </w:p>
    <w:p w:rsidR="00000000" w:rsidDel="00000000" w:rsidP="00000000" w:rsidRDefault="00000000" w:rsidRPr="00000000" w14:paraId="00000002">
      <w:pPr>
        <w:spacing w:after="200" w:before="200" w:lineRule="auto"/>
        <w:ind w:left="108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1601 Policy Directive Implementation:</w:t>
        <w:br w:type="textWrapping"/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TDM Strategy Assessment/Waiver Form TEMPLATE</w:t>
      </w:r>
    </w:p>
    <w:p w:rsidR="00000000" w:rsidDel="00000000" w:rsidP="00000000" w:rsidRDefault="00000000" w:rsidRPr="00000000" w14:paraId="00000003">
      <w:pPr>
        <w:spacing w:after="200" w:before="200" w:lineRule="auto"/>
        <w:ind w:left="1080" w:firstLine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Updated: October 8, 2023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spacing w:after="200" w:before="200" w:lineRule="auto"/>
        <w:ind w:left="720" w:hanging="360"/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Summary and Overview</w:t>
      </w:r>
    </w:p>
    <w:p w:rsidR="00000000" w:rsidDel="00000000" w:rsidP="00000000" w:rsidRDefault="00000000" w:rsidRPr="00000000" w14:paraId="00000005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This form provides 1601 applicants with instructions for assessing Transportation Demand Management (TDM) Strategies AND/OR requesting a Waiver from TDM Strategies in the 1601 Procedural Directive.</w:t>
      </w:r>
    </w:p>
    <w:p w:rsidR="00000000" w:rsidDel="00000000" w:rsidP="00000000" w:rsidRDefault="00000000" w:rsidRPr="00000000" w14:paraId="00000006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The 1601 Procedural Directive requires that applicants demonstrate a </w:t>
      </w:r>
      <w:r w:rsidDel="00000000" w:rsidR="00000000" w:rsidRPr="00000000">
        <w:rPr>
          <w:i w:val="1"/>
          <w:rtl w:val="0"/>
        </w:rPr>
        <w:t xml:space="preserve">good faith effort</w:t>
      </w:r>
      <w:r w:rsidDel="00000000" w:rsidR="00000000" w:rsidRPr="00000000">
        <w:rPr>
          <w:rtl w:val="0"/>
        </w:rPr>
        <w:t xml:space="preserve"> to reach the necessary ADT reduction goal.  The 1601 Procedural Directive states (pg 18):</w:t>
      </w:r>
    </w:p>
    <w:p w:rsidR="00000000" w:rsidDel="00000000" w:rsidP="00000000" w:rsidRDefault="00000000" w:rsidRPr="00000000" w14:paraId="00000007">
      <w:pPr>
        <w:spacing w:after="200" w:before="20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CDOT recognizes that local conditions combined with complex TDM strategies may make it difficult for a traffic model to accurately estimate trip reductions. </w:t>
      </w:r>
      <w:r w:rsidDel="00000000" w:rsidR="00000000" w:rsidRPr="00000000">
        <w:rPr>
          <w:i w:val="1"/>
          <w:rtl w:val="0"/>
        </w:rPr>
        <w:t xml:space="preserve">The applicant is required to demonstrate how the proposed strategies will achieve the stated reduction goal. The selection of these strategies serves as </w:t>
      </w:r>
      <w:r w:rsidDel="00000000" w:rsidR="00000000" w:rsidRPr="00000000">
        <w:rPr>
          <w:b w:val="1"/>
          <w:i w:val="1"/>
          <w:rtl w:val="0"/>
        </w:rPr>
        <w:t xml:space="preserve">a</w:t>
      </w:r>
      <w:r w:rsidDel="00000000" w:rsidR="00000000" w:rsidRPr="00000000">
        <w:rPr>
          <w:i w:val="1"/>
          <w:rtl w:val="0"/>
        </w:rPr>
        <w:t xml:space="preserve"> good faith effort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by the applicant to achieve the stated traffic reduction goal for the proposed interchange improvement.</w:t>
      </w:r>
      <w:r w:rsidDel="00000000" w:rsidR="00000000" w:rsidRPr="00000000">
        <w:rPr>
          <w:i w:val="1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spacing w:after="200" w:before="20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Use of this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This form is to be used when: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afterAutospacing="0" w:before="20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applicant's calculations of TDM strategies are below the 3% ADT reduction threshold, and the applicant wishes to request additional time to plan for, measure, and implement TDM strategies and a "good faith" effort for the interchange in question.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20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applicant is requesting a waiver from TDM requirements, and can demonstrate the need for a waiver per the criteria within the 1601 Procedural Directive.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Step 1: Applicant Instructions</w:t>
      </w:r>
    </w:p>
    <w:p w:rsidR="00000000" w:rsidDel="00000000" w:rsidP="00000000" w:rsidRDefault="00000000" w:rsidRPr="00000000" w14:paraId="0000000D">
      <w:pPr>
        <w:spacing w:after="200" w:before="200" w:lineRule="auto"/>
        <w:rPr/>
      </w:pPr>
      <w:r w:rsidDel="00000000" w:rsidR="00000000" w:rsidRPr="00000000">
        <w:rPr>
          <w:rtl w:val="0"/>
        </w:rPr>
        <w:t xml:space="preserve">The applicant shall provide a response to each item on the menu of TDM Strategies as listed</w:t>
      </w:r>
      <w:r w:rsidDel="00000000" w:rsidR="00000000" w:rsidRPr="00000000">
        <w:rPr>
          <w:rtl w:val="0"/>
        </w:rPr>
        <w:t xml:space="preserve"> below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Applicants may utilize a separate document using the same format and answering all questions.  A short paragraph summarizing each item is sufficient. </w:t>
      </w:r>
      <w:r w:rsidDel="00000000" w:rsidR="00000000" w:rsidRPr="00000000">
        <w:rPr>
          <w:rtl w:val="0"/>
        </w:rPr>
        <w:t xml:space="preserve">The applicant shall discuss: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spacing w:after="0" w:afterAutospacing="0" w:before="200" w:lineRule="auto"/>
        <w:ind w:left="720" w:hanging="360"/>
      </w:pPr>
      <w:r w:rsidDel="00000000" w:rsidR="00000000" w:rsidRPr="00000000">
        <w:rPr>
          <w:rtl w:val="0"/>
        </w:rPr>
        <w:t xml:space="preserve">the ADT reduction achieved from TDM strategies that were included in the proposal.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spacing w:after="20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applicable, an explanation of the infeasibility of TDM strategies that were not included in the proposal.</w:t>
      </w: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0">
      <w:pPr>
        <w:spacing w:after="200" w:before="200" w:lineRule="auto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Step 2:  CDOT’s Executive Oversight Committee Review</w:t>
      </w:r>
    </w:p>
    <w:p w:rsidR="00000000" w:rsidDel="00000000" w:rsidP="00000000" w:rsidRDefault="00000000" w:rsidRPr="00000000" w14:paraId="00000011">
      <w:pPr>
        <w:spacing w:after="200" w:before="200" w:lineRule="auto"/>
        <w:ind w:left="0" w:firstLine="0"/>
        <w:rPr/>
      </w:pPr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he CDOT Executive Oversight Committee is composed of Division and Region Directors. The group will review the form and the applicant's request.  They will make a recommendation to the CDOT Chief Engineer or Transportation Commission (depending on the type of interchange).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895"/>
        <w:gridCol w:w="1470"/>
        <w:gridCol w:w="5565"/>
        <w:tblGridChange w:id="0">
          <w:tblGrid>
            <w:gridCol w:w="2895"/>
            <w:gridCol w:w="1470"/>
            <w:gridCol w:w="5565"/>
          </w:tblGrid>
        </w:tblGridChange>
      </w:tblGrid>
      <w:tr>
        <w:trPr>
          <w:cantSplit w:val="0"/>
          <w:trHeight w:val="455.92529296875" w:hRule="atLeast"/>
          <w:tblHeader w:val="0"/>
        </w:trPr>
        <w:tc>
          <w:tcPr>
            <w:gridSpan w:val="3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40" w:lineRule="auto"/>
              <w:ind w:left="27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OF TDM STRATEGIES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6.4770507812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Identify the total ADT Reduction % the applicant has modeled or calculated from TDM Strategies (within parameters of 1601 PD criteria)</w:t>
            </w:r>
            <w:r w:rsidDel="00000000" w:rsidR="00000000" w:rsidRPr="00000000">
              <w:rPr>
                <w:b w:val="1"/>
                <w:rtl w:val="0"/>
              </w:rPr>
              <w:t xml:space="preserve">.</w:t>
            </w:r>
          </w:p>
        </w:tc>
        <w:tc>
          <w:tcPr>
            <w:gridSpan w:val="2"/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0" w:before="0" w:line="240" w:lineRule="auto"/>
              <w:ind w:left="0" w:firstLine="0"/>
              <w:jc w:val="center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6.47705078125" w:hRule="atLeast"/>
          <w:tblHeader w:val="0"/>
        </w:trPr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lineRule="auto"/>
              <w:ind w:left="27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Menu of TDM Strategies</w:t>
              <w:br w:type="textWrapping"/>
            </w:r>
          </w:p>
          <w:p w:rsidR="00000000" w:rsidDel="00000000" w:rsidP="00000000" w:rsidRDefault="00000000" w:rsidRPr="00000000" w14:paraId="0000001A">
            <w:pPr>
              <w:spacing w:after="240" w:lineRule="auto"/>
              <w:ind w:left="27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Strategy applied?</w:t>
            </w:r>
          </w:p>
          <w:p w:rsidR="00000000" w:rsidDel="00000000" w:rsidP="00000000" w:rsidRDefault="00000000" w:rsidRPr="00000000" w14:paraId="0000001C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(Yes/No)</w:t>
            </w:r>
          </w:p>
        </w:tc>
        <w:tc>
          <w:tcPr>
            <w:tcBorders>
              <w:top w:color="999999" w:space="0" w:sz="5" w:val="single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lineRule="auto"/>
              <w:ind w:left="27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Did the applicant apply the TDM Strategy? </w:t>
              <w:br w:type="textWrapping"/>
              <w:t xml:space="preserve">If yes:</w:t>
            </w:r>
            <w:r w:rsidDel="00000000" w:rsidR="00000000" w:rsidRPr="00000000">
              <w:rPr>
                <w:rtl w:val="0"/>
              </w:rPr>
              <w:t xml:space="preserve"> describe the ADT reduction achieved from the strategy through modeling or an alternative calculation methodology.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If no:</w:t>
            </w:r>
            <w:r w:rsidDel="00000000" w:rsidR="00000000" w:rsidRPr="00000000">
              <w:rPr>
                <w:rtl w:val="0"/>
              </w:rPr>
              <w:t xml:space="preserve"> describe why the TDM strategy was not feasible to be included.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after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Mobility Hubs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A mobility hub includes two (2) or more transit services/multimodal options available.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360" w:right="1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Intercity Transit - </w:t>
            </w:r>
            <w:r w:rsidDel="00000000" w:rsidR="00000000" w:rsidRPr="00000000">
              <w:rPr>
                <w:rtl w:val="0"/>
              </w:rPr>
              <w:t xml:space="preserve">Transit improvements include new transit service that serves the development at the new interchange.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Local Transit </w:t>
            </w: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The expansion of local transit must serve any new development that will be located at the new interchange location.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75.551757812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Shuttles, Feeders, and Paratransit - </w:t>
            </w:r>
            <w:r w:rsidDel="00000000" w:rsidR="00000000" w:rsidRPr="00000000">
              <w:rPr>
                <w:rtl w:val="0"/>
              </w:rPr>
              <w:t xml:space="preserve"> A public or privately operated shuttle service that serves the new development located at the new interchange. This may include fixed route, deviated fixed route and call and ride services.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Conventional Transit Service Upgrades -</w:t>
            </w:r>
            <w:r w:rsidDel="00000000" w:rsidR="00000000" w:rsidRPr="00000000">
              <w:rPr>
                <w:rtl w:val="0"/>
              </w:rPr>
              <w:t xml:space="preserve"> This may include operational improvements such as bus signal queue jumps or infrastructure improvements such as covered bus shelters.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spacing w:after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Transit-Oriented Development (TOD) - </w:t>
            </w:r>
            <w:r w:rsidDel="00000000" w:rsidR="00000000" w:rsidRPr="00000000">
              <w:rPr>
                <w:rtl w:val="0"/>
              </w:rPr>
              <w:t xml:space="preserve">The development adjacent to the interchange is constructed within a high-quality pedestrian-friendly environment with transit-oriented development features and is identified and approved in a local comprehensive plan. (see Section E below for minimum standards for TOD as a TDM strategy)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.7758789062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after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Mixed-Use Development </w:t>
            </w:r>
            <w:r w:rsidDel="00000000" w:rsidR="00000000" w:rsidRPr="00000000">
              <w:rPr>
                <w:rtl w:val="0"/>
              </w:rPr>
              <w:t xml:space="preserve">(See Section E for minimum standards for Mixed-Use Development) 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4.62646484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after="240" w:before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Bicycle and Pedestrian Facilities </w:t>
            </w:r>
            <w:r w:rsidDel="00000000" w:rsidR="00000000" w:rsidRPr="00000000">
              <w:rPr>
                <w:rtl w:val="0"/>
              </w:rPr>
              <w:t xml:space="preserve">– The interchange proposal would include infrastructure such as bike lanes, bike trails, multi-use trails, sidewalks, or a pedestrian overpass.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ind w:left="360" w:right="12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Park-and-Ride Lots </w:t>
            </w:r>
            <w:r w:rsidDel="00000000" w:rsidR="00000000" w:rsidRPr="00000000">
              <w:rPr>
                <w:rtl w:val="0"/>
              </w:rPr>
              <w:t xml:space="preserve">– Applicant would include a park-and- ride as a part of the interchange proposal.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240" w:lineRule="auto"/>
        <w:ind w:left="27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</w:t>
      </w:r>
    </w:p>
    <w:tbl>
      <w:tblPr>
        <w:tblStyle w:val="Table2"/>
        <w:tblW w:w="9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85"/>
        <w:gridCol w:w="1440"/>
        <w:gridCol w:w="5415"/>
        <w:tblGridChange w:id="0">
          <w:tblGrid>
            <w:gridCol w:w="2985"/>
            <w:gridCol w:w="1440"/>
            <w:gridCol w:w="5415"/>
          </w:tblGrid>
        </w:tblGridChange>
      </w:tblGrid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27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Programmatic </w:t>
            </w:r>
            <w:r w:rsidDel="00000000" w:rsidR="00000000" w:rsidRPr="00000000">
              <w:rPr>
                <w:b w:val="1"/>
                <w:rtl w:val="0"/>
              </w:rPr>
              <w:t xml:space="preserve">TDM Strategies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left="27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ind w:left="270" w:right="12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Parking Management </w:t>
            </w:r>
            <w:r w:rsidDel="00000000" w:rsidR="00000000" w:rsidRPr="00000000">
              <w:rPr>
                <w:rtl w:val="0"/>
              </w:rPr>
              <w:t xml:space="preserve">- no minimum parking req</w:t>
            </w:r>
            <w:r w:rsidDel="00000000" w:rsidR="00000000" w:rsidRPr="00000000">
              <w:rPr>
                <w:rtl w:val="0"/>
              </w:rPr>
              <w:t xml:space="preserve">uirements, paid parking within developments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.16381835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2. </w:t>
            </w:r>
            <w:r w:rsidDel="00000000" w:rsidR="00000000" w:rsidRPr="00000000">
              <w:rPr>
                <w:b w:val="1"/>
                <w:rtl w:val="0"/>
              </w:rPr>
              <w:t xml:space="preserve">ITS  </w:t>
            </w:r>
            <w:r w:rsidDel="00000000" w:rsidR="00000000" w:rsidRPr="00000000">
              <w:rPr>
                <w:rtl w:val="0"/>
              </w:rPr>
              <w:t xml:space="preserve">– Examples include congestion- reducing adaptive signal optimization, connected vehicles, transit signal priority, count stations, ramp meters, and closed caption television cameras to monitor the traffic and safety of all modes.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b w:val="1"/>
                <w:rtl w:val="0"/>
              </w:rPr>
              <w:t xml:space="preserve">School Pool Program </w:t>
            </w:r>
            <w:r w:rsidDel="00000000" w:rsidR="00000000" w:rsidRPr="00000000">
              <w:rPr>
                <w:rtl w:val="0"/>
              </w:rPr>
              <w:t xml:space="preserve">– The applicant can implement this program for either K-12 or Higher Education locations or both.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spacing w:after="240" w:before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rtl w:val="0"/>
              </w:rPr>
              <w:t xml:space="preserve">Vanpool Programs</w:t>
            </w:r>
            <w:r w:rsidDel="00000000" w:rsidR="00000000" w:rsidRPr="00000000">
              <w:rPr>
                <w:rtl w:val="0"/>
              </w:rPr>
              <w:t xml:space="preserve">*- A vanpool program that provides service to the development located at new interchange.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40" w:lineRule="auto"/>
              <w:ind w:left="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5. 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Regional Ridesharing Programs </w:t>
            </w:r>
            <w:r w:rsidDel="00000000" w:rsidR="00000000" w:rsidRPr="00000000">
              <w:rPr>
                <w:rtl w:val="0"/>
              </w:rPr>
              <w:t xml:space="preserve">- including carpool matching and vanpool programs 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</w:t>
            </w: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Transportation Management Organization's Participation </w:t>
            </w:r>
            <w:r w:rsidDel="00000000" w:rsidR="00000000" w:rsidRPr="00000000">
              <w:rPr>
                <w:rtl w:val="0"/>
              </w:rPr>
              <w:t xml:space="preserve">– Applicant becomes a financial participant or member of an already established TMA/TMO.Education and promotions of the recommended TDM strategies and programs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ind w:left="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7. </w:t>
            </w:r>
            <w:r w:rsidDel="00000000" w:rsidR="00000000" w:rsidRPr="00000000">
              <w:rPr>
                <w:b w:val="1"/>
                <w:rtl w:val="0"/>
              </w:rPr>
              <w:t xml:space="preserve">Event-Related TDM Program* </w:t>
            </w:r>
            <w:r w:rsidDel="00000000" w:rsidR="00000000" w:rsidRPr="00000000">
              <w:rPr>
                <w:rtl w:val="0"/>
              </w:rPr>
              <w:t xml:space="preserve">– Examples include Winter or Summer Bike to Work Day, Alternative Mode Challenge Programs and Incentives, and include three (3) or more events held per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before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240" w:before="240" w:lineRule="auto"/>
              <w:ind w:left="27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ind w:left="0" w:right="120" w:firstLine="0"/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</w:t>
            </w:r>
            <w:r w:rsidDel="00000000" w:rsidR="00000000" w:rsidRPr="00000000">
              <w:rPr>
                <w:b w:val="1"/>
                <w:rtl w:val="0"/>
              </w:rPr>
              <w:t xml:space="preserve">Guaranteed Ride Home* - </w:t>
            </w:r>
            <w:r w:rsidDel="00000000" w:rsidR="00000000" w:rsidRPr="00000000">
              <w:rPr>
                <w:rtl w:val="0"/>
              </w:rPr>
              <w:t xml:space="preserve">Implementation of the Guaranteed Ride Home Program for employees who commute by alternative modes.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ind w:left="0" w:right="12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9. Car-Sharing </w:t>
            </w:r>
            <w:r w:rsidDel="00000000" w:rsidR="00000000" w:rsidRPr="00000000">
              <w:rPr>
                <w:rtl w:val="0"/>
              </w:rPr>
              <w:t xml:space="preserve">– A partnership with a car-sharing service provider that would serve the development at the new interchange and include designated car-share parking spaces.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ind w:left="270" w:right="1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spacing w:after="240" w:lineRule="auto"/>
              <w:ind w:left="360" w:hanging="360"/>
              <w:rPr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Modal Subsidies and Vouchers </w:t>
            </w:r>
            <w:r w:rsidDel="00000000" w:rsidR="00000000" w:rsidRPr="00000000">
              <w:rPr>
                <w:rtl w:val="0"/>
              </w:rPr>
              <w:t xml:space="preserve">- Examples include RTD Eco- passes or vanpool program subsidies.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.88037109375" w:hRule="atLeast"/>
          <w:tblHeader w:val="0"/>
        </w:trPr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240" w:lineRule="auto"/>
              <w:ind w:left="360"/>
              <w:rPr>
                <w:b w:val="1"/>
                <w:u w:val="no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Other TDM strategy </w:t>
            </w:r>
            <w:r w:rsidDel="00000000" w:rsidR="00000000" w:rsidRPr="00000000">
              <w:rPr>
                <w:rtl w:val="0"/>
              </w:rPr>
              <w:t xml:space="preserve">(defined by applicant, may be accepted or rejected by CDOT)</w:t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lineRule="auto"/>
              <w:ind w:left="270" w:firstLine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999999" w:space="0" w:sz="5" w:val="single"/>
              <w:bottom w:color="999999" w:space="0" w:sz="5" w:val="single"/>
              <w:right w:color="999999" w:space="0" w:sz="5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40" w:lineRule="auto"/>
              <w:ind w:left="27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lineRule="auto"/>
        <w:rPr/>
      </w:pPr>
      <w:r w:rsidDel="00000000" w:rsidR="00000000" w:rsidRPr="00000000">
        <w:rPr>
          <w:b w:val="1"/>
          <w:i w:val="1"/>
          <w:sz w:val="18"/>
          <w:szCs w:val="18"/>
          <w:u w:val="single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Additional TDM Waiver information (if applicable). </w:t>
      </w:r>
      <w:r w:rsidDel="00000000" w:rsidR="00000000" w:rsidRPr="00000000">
        <w:rPr>
          <w:rtl w:val="0"/>
        </w:rPr>
        <w:t xml:space="preserve"> The applicant should include any other information that supports a waiver request in accordance with guidance in the 1601 Procedural Directive and the 1601 Training Manual: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802286</wp:posOffset>
                </wp:positionV>
                <wp:extent cx="5986463" cy="18573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1300" y="574675"/>
                          <a:ext cx="5664900" cy="22599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-161924</wp:posOffset>
                </wp:positionH>
                <wp:positionV relativeFrom="paragraph">
                  <wp:posOffset>802286</wp:posOffset>
                </wp:positionV>
                <wp:extent cx="5986463" cy="18573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6463" cy="1857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0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OF REQUEST  BY CDOT CHIEF ENGINEER</w:t>
      </w:r>
    </w:p>
    <w:p w:rsidR="00000000" w:rsidDel="00000000" w:rsidP="00000000" w:rsidRDefault="00000000" w:rsidRPr="00000000" w14:paraId="00000062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Approval details (if any)____________________________________________________</w:t>
        <w:br w:type="textWrapping"/>
      </w:r>
    </w:p>
    <w:p w:rsidR="00000000" w:rsidDel="00000000" w:rsidP="00000000" w:rsidRDefault="00000000" w:rsidRPr="00000000" w14:paraId="0000006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By: ______________________________________   Date:_______________________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200" w:before="200" w:lineRule="auto"/>
        <w:ind w:left="720" w:firstLine="0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