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left="720" w:firstLine="0"/>
        <w:jc w:val="center"/>
        <w:rPr>
          <w:rFonts w:ascii="Roboto" w:cs="Roboto" w:eastAsia="Roboto" w:hAnsi="Roboto"/>
          <w:b w:val="1"/>
          <w:sz w:val="21"/>
          <w:szCs w:val="21"/>
          <w:shd w:fill="fff2cc" w:val="clear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shd w:fill="fff2cc" w:val="clear"/>
          <w:rtl w:val="0"/>
        </w:rPr>
        <w:t xml:space="preserve">TEMPLATE: PLEASE MAKE A COPY BEFORE FILLING OUT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firstLine="0"/>
        <w:rPr>
          <w:rFonts w:ascii="Roboto" w:cs="Roboto" w:eastAsia="Roboto" w:hAnsi="Roboto"/>
          <w:b w:val="1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u w:val="single"/>
          <w:rtl w:val="0"/>
        </w:rPr>
        <w:t xml:space="preserve">Note: the applicant may combine Memo #1 and #2 into one document at their discretion</w:t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TDM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Memo #1: identifying existing conditions and TDM background.  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The memo should include the following items. 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spacing w:after="0" w:afterAutospacing="0" w:before="24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the number of trips required to meet the required ADT reduction. </w:t>
      </w:r>
      <w:r w:rsidDel="00000000" w:rsidR="00000000" w:rsidRPr="00000000">
        <w:rPr>
          <w:rtl w:val="0"/>
        </w:rPr>
        <w:t xml:space="preserve">To calculate this, the applicant shall follow these steps:</w:t>
      </w:r>
    </w:p>
    <w:p w:rsidR="00000000" w:rsidDel="00000000" w:rsidP="00000000" w:rsidRDefault="00000000" w:rsidRPr="00000000" w14:paraId="00000005">
      <w:pPr>
        <w:numPr>
          <w:ilvl w:val="3"/>
          <w:numId w:val="1"/>
        </w:numPr>
        <w:spacing w:after="0" w:afterAutospacing="0" w:before="0" w:beforeAutospacing="0" w:lineRule="auto"/>
        <w:ind w:left="1800" w:hanging="360"/>
      </w:pPr>
      <w:r w:rsidDel="00000000" w:rsidR="00000000" w:rsidRPr="00000000">
        <w:rPr>
          <w:rtl w:val="0"/>
        </w:rPr>
        <w:t xml:space="preserve">Determine total ADT on interchange ramps at opening day (Example: 10,000 total ADT) as well as five years after opening day, given that TDM strategies may need to be phased in during the five-year period</w:t>
      </w:r>
    </w:p>
    <w:p w:rsidR="00000000" w:rsidDel="00000000" w:rsidP="00000000" w:rsidRDefault="00000000" w:rsidRPr="00000000" w14:paraId="00000006">
      <w:pPr>
        <w:numPr>
          <w:ilvl w:val="3"/>
          <w:numId w:val="1"/>
        </w:numPr>
        <w:spacing w:after="0" w:afterAutospacing="0" w:before="0" w:beforeAutospacing="0" w:lineRule="auto"/>
        <w:ind w:left="1800" w:hanging="360"/>
      </w:pPr>
      <w:r w:rsidDel="00000000" w:rsidR="00000000" w:rsidRPr="00000000">
        <w:rPr>
          <w:rtl w:val="0"/>
        </w:rPr>
        <w:t xml:space="preserve">If within an MPO boundary, determine 3% of total ADT (Example: 300 trips is 3% of 10,000)  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spacing w:after="0" w:afterAutospacing="0" w:before="0" w:beforeAutospacing="0" w:lineRule="auto"/>
        <w:ind w:left="1800" w:hanging="360"/>
      </w:pPr>
      <w:r w:rsidDel="00000000" w:rsidR="00000000" w:rsidRPr="00000000">
        <w:rPr>
          <w:rtl w:val="0"/>
        </w:rPr>
        <w:t xml:space="preserve">If outside of an MPO boundary, determine 1% of total ADT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a map that shows the developments (existing and future) that will contribute to ADT at the interchange ramp.</w:t>
        <w:br w:type="textWrapping"/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existing TDM strategies that serve the development area.</w:t>
        <w:br w:type="textWrapping"/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recommendations from any TDM-related Plans or Transit Plans that cover the development area.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Memo #2: identifying potential TDM strategies.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240" w:before="240" w:lineRule="auto"/>
        <w:ind w:left="1440" w:hanging="360"/>
      </w:pPr>
      <w:r w:rsidDel="00000000" w:rsidR="00000000" w:rsidRPr="00000000">
        <w:rPr>
          <w:rtl w:val="0"/>
        </w:rPr>
        <w:t xml:space="preserve">The applicant shall identify potential TDM strategies using the list on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TDM Strategy Assessment/Waiver Request Form</w:t>
        </w:r>
      </w:hyperlink>
      <w:r w:rsidDel="00000000" w:rsidR="00000000" w:rsidRPr="00000000">
        <w:rPr>
          <w:rtl w:val="0"/>
        </w:rPr>
        <w:t xml:space="preserve">. The purpose of this memo is to allow for a discussion of TDM strategies that may be most effective and feasible given the existing conditions. At this step, the applicant is not expected to have performed calculations of ADT reduction. </w:t>
      </w:r>
    </w:p>
    <w:p w:rsidR="00000000" w:rsidDel="00000000" w:rsidP="00000000" w:rsidRDefault="00000000" w:rsidRPr="00000000" w14:paraId="0000000D">
      <w:pPr>
        <w:spacing w:after="240" w:before="240" w:lineRule="auto"/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color w:val="0b5394"/>
        <w:sz w:val="36"/>
        <w:szCs w:val="36"/>
        <w:u w:val="no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i8yNXQQrXHtJGizEE4WhVcIHBPgDIN87WInsfBAaHLU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