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4E220E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July 28</w:t>
      </w:r>
      <w:r w:rsidR="00BB755C">
        <w:rPr>
          <w:b/>
        </w:rPr>
        <w:t>, 2011</w:t>
      </w:r>
    </w:p>
    <w:p w:rsidR="00BB755C" w:rsidRPr="00590F8D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BB755C" w:rsidRDefault="00BB755C" w:rsidP="00BB755C">
      <w:pPr>
        <w:pStyle w:val="ListBullet"/>
        <w:numPr>
          <w:ilvl w:val="0"/>
          <w:numId w:val="12"/>
        </w:numPr>
        <w:jc w:val="both"/>
      </w:pPr>
      <w:r>
        <w:t>Jim Moody, CCA, Guest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Scott Ellis, Region 4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 Innovative Contracting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Don Garcia, Region 2</w:t>
      </w: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Mark Andrew, Region 2</w:t>
      </w:r>
    </w:p>
    <w:p w:rsidR="004A5307" w:rsidRPr="00590F8D" w:rsidRDefault="004A5307" w:rsidP="00BB755C">
      <w:pPr>
        <w:pStyle w:val="ListBullet"/>
        <w:numPr>
          <w:ilvl w:val="0"/>
          <w:numId w:val="12"/>
        </w:numPr>
        <w:jc w:val="both"/>
      </w:pPr>
      <w:r>
        <w:t>David Watt, Region 2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Jeff Wassenaar, CDOT, Project Development Branch Manager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Benjamin Acimovic, Region 1 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Greg Diehl, EEO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Joe Elsen, Region 3</w:t>
      </w:r>
      <w:r w:rsidR="004E220E">
        <w:t>, via telephone</w:t>
      </w:r>
    </w:p>
    <w:p w:rsidR="004A5307" w:rsidRDefault="004A5307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Ed Archuleta, Region 5, via telephone</w:t>
      </w:r>
      <w:r w:rsidR="00CD08E5">
        <w:t xml:space="preserve"> </w:t>
      </w:r>
      <w:bookmarkStart w:id="0" w:name="_GoBack"/>
      <w:bookmarkEnd w:id="0"/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EC410A" w:rsidRPr="00EC410A" w:rsidRDefault="00FC031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>
        <w:t>Mark Scholfield met with Keith Molenaar and discussed ways to fine-tune the matrix and incorporate the ACEC proposed matrix.</w:t>
      </w:r>
    </w:p>
    <w:p w:rsidR="00CC6FE5" w:rsidRDefault="00CC6FE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Pr="00543BB3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040C64" w:rsidRPr="00543BB3" w:rsidRDefault="00040C64" w:rsidP="00DE58D6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Pr="00543BB3">
        <w:t xml:space="preserve"> (Book 1):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  <w:r w:rsidR="00DC0C00" w:rsidRPr="00543BB3">
        <w:t>Ben Acimovic</w:t>
      </w:r>
    </w:p>
    <w:p w:rsidR="00B26814" w:rsidRDefault="00B2681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RFP Template is complete and availab</w:t>
      </w:r>
      <w:r>
        <w:t>le on the CM/GC Sharepoint site</w:t>
      </w:r>
    </w:p>
    <w:p w:rsidR="00B26814" w:rsidRDefault="00B2681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CM/GC Se</w:t>
      </w:r>
      <w:r>
        <w:t xml:space="preserve">rvices Contract is in progress.  </w:t>
      </w:r>
      <w:r>
        <w:t>Kathy Young and Ben are working on the draft.</w:t>
      </w:r>
    </w:p>
    <w:p w:rsidR="00B26814" w:rsidRDefault="00B2681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Proposal for the CM/GC Shar</w:t>
      </w:r>
      <w:r>
        <w:t>ed Risk Pool and Value Engineer</w:t>
      </w:r>
      <w:r>
        <w:t>ing for construction cost savings to be addr</w:t>
      </w:r>
      <w:r>
        <w:t>essed in a Project Special Specification</w:t>
      </w:r>
    </w:p>
    <w:p w:rsidR="00B26814" w:rsidRDefault="00B26814" w:rsidP="00B26814">
      <w:pPr>
        <w:pStyle w:val="ListBullet"/>
        <w:numPr>
          <w:ilvl w:val="2"/>
          <w:numId w:val="19"/>
        </w:numPr>
        <w:tabs>
          <w:tab w:val="left" w:pos="720"/>
        </w:tabs>
      </w:pPr>
      <w:r>
        <w:t>2 Months (8 Weeks) for Spec Committee</w:t>
      </w:r>
    </w:p>
    <w:p w:rsidR="00B26814" w:rsidRDefault="00B2681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Constr</w:t>
      </w:r>
      <w:r>
        <w:t xml:space="preserve">uction Contract is in progress.  </w:t>
      </w:r>
      <w:r>
        <w:t xml:space="preserve">Kathy Young and Ben </w:t>
      </w:r>
      <w:r>
        <w:t xml:space="preserve">Acimovic </w:t>
      </w:r>
      <w:r>
        <w:t>are working on the draft.</w:t>
      </w:r>
    </w:p>
    <w:p w:rsidR="00B26814" w:rsidRDefault="00B26814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Are ICAC and the CM/GC subcommittee working on the work flows and guide or will Jake Kononov</w:t>
      </w:r>
      <w:r>
        <w:t xml:space="preserve"> be</w:t>
      </w:r>
      <w:r>
        <w:t xml:space="preserve"> taking over?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543BB3" w:rsidRPr="00543BB3" w:rsidRDefault="00543BB3" w:rsidP="00543BB3">
      <w:pPr>
        <w:pStyle w:val="ListBullet"/>
        <w:numPr>
          <w:ilvl w:val="1"/>
          <w:numId w:val="19"/>
        </w:numPr>
      </w:pPr>
      <w:r>
        <w:t xml:space="preserve">Kathy met with the Controller’s Office.  </w:t>
      </w:r>
      <w:r w:rsidR="006415AC">
        <w:t>Waiting</w:t>
      </w:r>
      <w:r>
        <w:t xml:space="preserve"> for OSC’s comments (if any).  Will schedule next Book 1 Template meeting for SDB</w:t>
      </w:r>
    </w:p>
    <w:p w:rsidR="00824BF1" w:rsidRPr="00543BB3" w:rsidRDefault="00824BF1" w:rsidP="00824BF1">
      <w:pPr>
        <w:pStyle w:val="ListBullet"/>
        <w:numPr>
          <w:ilvl w:val="0"/>
          <w:numId w:val="0"/>
        </w:numPr>
        <w:ind w:left="1800"/>
      </w:pPr>
    </w:p>
    <w:p w:rsidR="00DC0C00" w:rsidRPr="00543BB3" w:rsidRDefault="00DC0C00" w:rsidP="00DE58D6">
      <w:pPr>
        <w:pStyle w:val="ListBullet"/>
        <w:numPr>
          <w:ilvl w:val="1"/>
          <w:numId w:val="12"/>
        </w:numPr>
      </w:pPr>
      <w:r w:rsidRPr="00543BB3">
        <w:t>Technical Requirements subcommittee update:  Matthew Pacheco</w:t>
      </w:r>
    </w:p>
    <w:p w:rsidR="00A84A79" w:rsidRPr="00543BB3" w:rsidRDefault="00A84A79" w:rsidP="00A84A79">
      <w:pPr>
        <w:pStyle w:val="ListBullet"/>
        <w:numPr>
          <w:ilvl w:val="2"/>
          <w:numId w:val="12"/>
        </w:numPr>
      </w:pPr>
      <w:r w:rsidRPr="00543BB3">
        <w:t>No update. US 36 Technical Requirements are in progress</w:t>
      </w:r>
    </w:p>
    <w:p w:rsidR="00824BF1" w:rsidRPr="00543BB3" w:rsidRDefault="00824BF1" w:rsidP="00A84A79">
      <w:pPr>
        <w:pStyle w:val="ListBullet"/>
        <w:numPr>
          <w:ilvl w:val="0"/>
          <w:numId w:val="0"/>
        </w:numPr>
        <w:ind w:left="360" w:hanging="36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E58D6" w:rsidRPr="00543BB3" w:rsidRDefault="00DE58D6" w:rsidP="00DE58D6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824BF1" w:rsidRDefault="006D34EC" w:rsidP="00824BF1">
      <w:pPr>
        <w:pStyle w:val="ListBullet"/>
        <w:numPr>
          <w:ilvl w:val="2"/>
          <w:numId w:val="12"/>
        </w:numPr>
        <w:rPr>
          <w:color w:val="000000" w:themeColor="text1"/>
        </w:rPr>
      </w:pPr>
      <w:r w:rsidRPr="00543BB3">
        <w:t xml:space="preserve">Don Garcia is in the process </w:t>
      </w:r>
      <w:r>
        <w:rPr>
          <w:color w:val="000000" w:themeColor="text1"/>
        </w:rPr>
        <w:t>of scheduling the first meeting</w:t>
      </w:r>
    </w:p>
    <w:p w:rsidR="00A84A79" w:rsidRPr="006D34EC" w:rsidRDefault="00A84A79" w:rsidP="00A84A79">
      <w:pPr>
        <w:pStyle w:val="ListBullet"/>
        <w:numPr>
          <w:ilvl w:val="0"/>
          <w:numId w:val="0"/>
        </w:numPr>
        <w:ind w:left="1800"/>
        <w:rPr>
          <w:color w:val="000000" w:themeColor="text1"/>
        </w:rPr>
      </w:pPr>
    </w:p>
    <w:p w:rsidR="00DE58D6" w:rsidRDefault="00DE58D6" w:rsidP="00DE58D6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6D34EC">
        <w:rPr>
          <w:color w:val="000000" w:themeColor="text1"/>
        </w:rPr>
        <w:t xml:space="preserve">Updating Manuals subcommittee update:  </w:t>
      </w:r>
      <w:r w:rsidR="00BB755C" w:rsidRPr="006D34EC">
        <w:rPr>
          <w:color w:val="000000" w:themeColor="text1"/>
        </w:rPr>
        <w:t>Nabil Haddad</w:t>
      </w:r>
    </w:p>
    <w:p w:rsidR="00A84A79" w:rsidRPr="006D34EC" w:rsidRDefault="00A84A79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EC410A" w:rsidRDefault="00FC031A" w:rsidP="00FC031A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lastRenderedPageBreak/>
        <w:t>The GO Sheet does not identify the delivery method of a project.  Nabil will contact Laura Zamora to inquire about the issue and try to resolve it.</w:t>
      </w:r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95E54">
        <w:rPr>
          <w:bCs/>
        </w:rPr>
        <w:t xml:space="preserve"> </w:t>
      </w:r>
      <w:r w:rsidR="00FC031A">
        <w:rPr>
          <w:bCs/>
        </w:rPr>
        <w:t>September 1, 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FC031A">
        <w:rPr>
          <w:bCs/>
        </w:rPr>
        <w:t>CCA Offices)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</w:num>
  <w:num w:numId="2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840F9"/>
    <w:rsid w:val="00695E54"/>
    <w:rsid w:val="00697F90"/>
    <w:rsid w:val="006C477D"/>
    <w:rsid w:val="006D34EC"/>
    <w:rsid w:val="006D57AC"/>
    <w:rsid w:val="006E5D8E"/>
    <w:rsid w:val="006F460F"/>
    <w:rsid w:val="006F56B5"/>
    <w:rsid w:val="006F6F05"/>
    <w:rsid w:val="00710FBB"/>
    <w:rsid w:val="00725C3A"/>
    <w:rsid w:val="00736268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4BF1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53A3"/>
    <w:rsid w:val="00AA6A37"/>
    <w:rsid w:val="00AD2236"/>
    <w:rsid w:val="00AE0C23"/>
    <w:rsid w:val="00AE6094"/>
    <w:rsid w:val="00AF72C0"/>
    <w:rsid w:val="00B12B57"/>
    <w:rsid w:val="00B13E6F"/>
    <w:rsid w:val="00B17299"/>
    <w:rsid w:val="00B26814"/>
    <w:rsid w:val="00B675FA"/>
    <w:rsid w:val="00B940A1"/>
    <w:rsid w:val="00B95CBE"/>
    <w:rsid w:val="00BA150F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D08E5"/>
    <w:rsid w:val="00CF2C4A"/>
    <w:rsid w:val="00CF5568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76"/>
    <w:rsid w:val="00DE58D6"/>
    <w:rsid w:val="00DF318B"/>
    <w:rsid w:val="00E02C93"/>
    <w:rsid w:val="00E11BE6"/>
    <w:rsid w:val="00E13821"/>
    <w:rsid w:val="00E43237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C61F-A730-404F-8348-B86BDFE7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12</cp:revision>
  <cp:lastPrinted>2011-07-15T18:26:00Z</cp:lastPrinted>
  <dcterms:created xsi:type="dcterms:W3CDTF">2011-08-17T20:20:00Z</dcterms:created>
  <dcterms:modified xsi:type="dcterms:W3CDTF">2011-08-22T15:48:00Z</dcterms:modified>
</cp:coreProperties>
</file>