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BB755C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June 23</w:t>
      </w:r>
      <w:r w:rsidRPr="00BB755C">
        <w:rPr>
          <w:b/>
          <w:vertAlign w:val="superscript"/>
        </w:rPr>
        <w:t>rd</w:t>
      </w:r>
      <w:r>
        <w:rPr>
          <w:b/>
        </w:rPr>
        <w:t>, 2011</w:t>
      </w:r>
    </w:p>
    <w:p w:rsidR="00BB755C" w:rsidRPr="00590F8D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6F56B5" w:rsidRDefault="006F56B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590F8D" w:rsidRDefault="00BB755C" w:rsidP="00BB755C">
      <w:pPr>
        <w:pStyle w:val="ListBullet"/>
        <w:numPr>
          <w:ilvl w:val="0"/>
          <w:numId w:val="12"/>
        </w:numPr>
        <w:jc w:val="both"/>
      </w:pPr>
      <w:r>
        <w:t>Jim Moody, CCA, Guest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Jeff Wassenaar, CDOT, Project Development Branch Manager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Neil Lacey, CDOT, Area Engineer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George </w:t>
      </w:r>
      <w:proofErr w:type="spellStart"/>
      <w:r>
        <w:t>Tsiouvaras</w:t>
      </w:r>
      <w:proofErr w:type="spellEnd"/>
      <w:r>
        <w:t>, ACEC, TSH Consulting Engineers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Kathy Young, State of Colorado AG’s Office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Josh Laipply, AECOM/Bridge Enterprise, Guest</w:t>
      </w:r>
      <w:bookmarkStart w:id="0" w:name="_GoBack"/>
      <w:bookmarkEnd w:id="0"/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Ken Szeliga, </w:t>
      </w:r>
      <w:r>
        <w:t>AECOM/Bridge Enterprise, Guest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Benjamin Acimovic, Region 1 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Keith Molenaar, University of Colorado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Greg Diehl, EEO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 Kramer and Sons</w:t>
      </w:r>
    </w:p>
    <w:p w:rsidR="00BB755C" w:rsidRDefault="00BB755C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Joe Elsen, Region 3</w:t>
      </w:r>
    </w:p>
    <w:p w:rsidR="00EC410A" w:rsidRPr="00E43237" w:rsidRDefault="00EC410A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E43237">
        <w:t xml:space="preserve">Mark </w:t>
      </w:r>
      <w:proofErr w:type="spellStart"/>
      <w:r w:rsidR="00FE2F1B" w:rsidRPr="00E43237">
        <w:rPr>
          <w:bCs/>
          <w:color w:val="000000"/>
        </w:rPr>
        <w:t>Scholfield</w:t>
      </w:r>
      <w:proofErr w:type="gramStart"/>
      <w:r w:rsidR="00FE2F1B" w:rsidRPr="00E43237">
        <w:t>,</w:t>
      </w:r>
      <w:r w:rsidRPr="00E43237">
        <w:t>ACEC</w:t>
      </w:r>
      <w:proofErr w:type="spellEnd"/>
      <w:proofErr w:type="gramEnd"/>
      <w:r w:rsidRPr="00E43237">
        <w:t>, Wilson and Co.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824BF1" w:rsidRPr="00824BF1" w:rsidRDefault="00824BF1" w:rsidP="00824BF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 w:rsidRPr="00EC410A">
        <w:rPr>
          <w:color w:val="0000FF"/>
        </w:rPr>
        <w:t>ACEC will get together with Keith Molenaar and sync the long and short selection Matrix Forms</w:t>
      </w:r>
      <w:r>
        <w:t xml:space="preserve">. </w:t>
      </w:r>
      <w:r w:rsidRPr="00824BF1">
        <w:rPr>
          <w:b/>
        </w:rPr>
        <w:t>– Action Item.</w:t>
      </w:r>
    </w:p>
    <w:p w:rsidR="00824BF1" w:rsidRPr="00EC410A" w:rsidRDefault="00824BF1" w:rsidP="00824BF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Discussion on who will own these documents. CDOT Project Development will own documents through Nabil Haddad and Jeff Wassenaar.</w:t>
      </w:r>
    </w:p>
    <w:p w:rsidR="00EC410A" w:rsidRPr="00EC410A" w:rsidRDefault="00824BF1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 w:rsidRPr="00EC410A">
        <w:rPr>
          <w:color w:val="0000FF"/>
        </w:rPr>
        <w:t xml:space="preserve">Need to rollout the completed matrix at a PE III meeting through Jeff Wassenaar. PE </w:t>
      </w:r>
      <w:r>
        <w:t>IIs next and then down to the project level.</w:t>
      </w:r>
      <w:r w:rsidR="00EC410A" w:rsidRPr="00EC410A">
        <w:rPr>
          <w:b/>
        </w:rPr>
        <w:t xml:space="preserve"> </w:t>
      </w:r>
      <w:r w:rsidR="00EC410A" w:rsidRPr="00EC410A">
        <w:rPr>
          <w:b/>
        </w:rPr>
        <w:t>– Action Item</w:t>
      </w:r>
    </w:p>
    <w:p w:rsidR="00824BF1" w:rsidRPr="00EC410A" w:rsidRDefault="00824BF1" w:rsidP="00824BF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Possible webinars.</w:t>
      </w:r>
    </w:p>
    <w:p w:rsidR="00EC410A" w:rsidRPr="00EC410A" w:rsidRDefault="00824BF1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 xml:space="preserve">Proposal for a one page summary to attach with the short and long matrix for higher level managers. This summary would give </w:t>
      </w:r>
      <w:r w:rsidR="00EC410A" w:rsidRPr="00EC410A">
        <w:rPr>
          <w:color w:val="0000FF"/>
        </w:rPr>
        <w:t>information on the selected delivery method. Would include trends, reasons, justifications, why it’s best for a particular project, and what resources are needed.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b/>
        </w:rPr>
      </w:pPr>
      <w:r w:rsidRPr="00EC410A">
        <w:rPr>
          <w:color w:val="0000FF"/>
        </w:rPr>
        <w:t xml:space="preserve">Need to make a meeting in August 2011 for a presentation on the final matrix document. Invitation should include Jeff, Nabil, ICAC, ACEC, CCA, and CU. </w:t>
      </w:r>
      <w:r w:rsidRPr="00EC410A">
        <w:rPr>
          <w:b/>
          <w:color w:val="0000FF"/>
        </w:rPr>
        <w:t xml:space="preserve">– </w:t>
      </w:r>
      <w:r w:rsidRPr="00EC410A">
        <w:rPr>
          <w:b/>
        </w:rPr>
        <w:t>Action Item</w:t>
      </w:r>
    </w:p>
    <w:p w:rsidR="00CC6FE5" w:rsidRDefault="00CC6FE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RFP should be complete by July 8</w:t>
      </w:r>
      <w:r w:rsidRPr="00824BF1">
        <w:rPr>
          <w:color w:val="0000FF"/>
          <w:vertAlign w:val="superscript"/>
        </w:rPr>
        <w:t>th</w:t>
      </w:r>
      <w:r w:rsidRPr="00824BF1">
        <w:rPr>
          <w:color w:val="0000FF"/>
        </w:rPr>
        <w:t>, 2011.</w:t>
      </w:r>
      <w:r>
        <w:rPr>
          <w:color w:val="0000FF"/>
        </w:rPr>
        <w:t xml:space="preserve"> </w:t>
      </w:r>
      <w:r w:rsidRPr="00824BF1">
        <w:t>– Action Item.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RFP meeting held June 8</w:t>
      </w:r>
      <w:r w:rsidRPr="00824BF1">
        <w:rPr>
          <w:color w:val="0000FF"/>
          <w:vertAlign w:val="superscript"/>
        </w:rPr>
        <w:t>th</w:t>
      </w:r>
      <w:r w:rsidRPr="00824BF1">
        <w:rPr>
          <w:color w:val="0000FF"/>
        </w:rPr>
        <w:t>, 2011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RFP meeting to be held on June 24</w:t>
      </w:r>
      <w:r w:rsidRPr="00824BF1">
        <w:rPr>
          <w:color w:val="0000FF"/>
          <w:vertAlign w:val="superscript"/>
        </w:rPr>
        <w:t>th</w:t>
      </w:r>
      <w:r w:rsidRPr="00824BF1">
        <w:rPr>
          <w:color w:val="0000FF"/>
        </w:rPr>
        <w:t>, 2011</w:t>
      </w:r>
      <w:r>
        <w:rPr>
          <w:color w:val="0000FF"/>
        </w:rPr>
        <w:t xml:space="preserve"> </w:t>
      </w:r>
      <w:r w:rsidRPr="00824BF1">
        <w:t>– Action Item.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RFP will be complete before Contract is finished.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1 Contract for CM/GC services and 1 for Construction packages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="00BB755C">
        <w:t>: Kathy Young</w:t>
      </w:r>
    </w:p>
    <w:p w:rsidR="00824BF1" w:rsidRP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Book 1 for standard D-B is being finalized.</w:t>
      </w:r>
    </w:p>
    <w:p w:rsidR="00824BF1" w:rsidRDefault="00824BF1" w:rsidP="00824BF1">
      <w:pPr>
        <w:pStyle w:val="ListBullet"/>
        <w:numPr>
          <w:ilvl w:val="2"/>
          <w:numId w:val="19"/>
        </w:numPr>
        <w:rPr>
          <w:color w:val="0000FF"/>
        </w:rPr>
      </w:pPr>
      <w:r>
        <w:rPr>
          <w:color w:val="0000FF"/>
        </w:rPr>
        <w:t>US 36 Priority</w:t>
      </w:r>
    </w:p>
    <w:p w:rsid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 w:rsidRPr="00824BF1">
        <w:rPr>
          <w:color w:val="0000FF"/>
        </w:rPr>
        <w:t>Book 1 for S-B-D is in progress:</w:t>
      </w:r>
    </w:p>
    <w:p w:rsidR="00824BF1" w:rsidRDefault="00824BF1" w:rsidP="00824BF1">
      <w:pPr>
        <w:pStyle w:val="ListBullet"/>
        <w:numPr>
          <w:ilvl w:val="1"/>
          <w:numId w:val="19"/>
        </w:numPr>
        <w:rPr>
          <w:color w:val="0000FF"/>
        </w:rPr>
      </w:pPr>
      <w:r>
        <w:rPr>
          <w:color w:val="0000FF"/>
        </w:rPr>
        <w:t>Question came up on handling Stipends (DB-SDB amounts)</w:t>
      </w:r>
    </w:p>
    <w:p w:rsidR="00824BF1" w:rsidRDefault="00824BF1" w:rsidP="00824BF1">
      <w:pPr>
        <w:pStyle w:val="ListBullet"/>
        <w:numPr>
          <w:ilvl w:val="2"/>
          <w:numId w:val="19"/>
        </w:numPr>
        <w:rPr>
          <w:color w:val="0000FF"/>
        </w:rPr>
      </w:pPr>
      <w:r>
        <w:rPr>
          <w:color w:val="0000FF"/>
        </w:rPr>
        <w:t>Total stipend and spread to all non-selected teams</w:t>
      </w:r>
    </w:p>
    <w:p w:rsidR="00824BF1" w:rsidRDefault="00824BF1" w:rsidP="00824BF1">
      <w:pPr>
        <w:pStyle w:val="ListBullet"/>
        <w:numPr>
          <w:ilvl w:val="2"/>
          <w:numId w:val="19"/>
        </w:numPr>
        <w:rPr>
          <w:color w:val="0000FF"/>
        </w:rPr>
      </w:pPr>
      <w:r>
        <w:rPr>
          <w:color w:val="0000FF"/>
        </w:rPr>
        <w:lastRenderedPageBreak/>
        <w:t>Only top 2-5 get stipend (short list)</w:t>
      </w:r>
    </w:p>
    <w:p w:rsidR="00824BF1" w:rsidRPr="00824BF1" w:rsidRDefault="00824BF1" w:rsidP="00824BF1">
      <w:pPr>
        <w:pStyle w:val="ListBullet"/>
        <w:numPr>
          <w:ilvl w:val="2"/>
          <w:numId w:val="19"/>
        </w:numPr>
        <w:rPr>
          <w:color w:val="0000FF"/>
        </w:rPr>
      </w:pPr>
      <w:r>
        <w:rPr>
          <w:color w:val="0000FF"/>
        </w:rPr>
        <w:t>How will CDOT set the amount for stipends? (.5% to 1%  is typical)</w:t>
      </w:r>
    </w:p>
    <w:p w:rsidR="00824BF1" w:rsidRPr="00824BF1" w:rsidRDefault="00824BF1" w:rsidP="00824BF1">
      <w:pPr>
        <w:pStyle w:val="ListBullet"/>
        <w:numPr>
          <w:ilvl w:val="0"/>
          <w:numId w:val="0"/>
        </w:numPr>
        <w:ind w:left="1800"/>
        <w:rPr>
          <w:color w:val="0000FF"/>
        </w:rPr>
      </w:pP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824BF1" w:rsidRPr="00824BF1" w:rsidRDefault="00824BF1" w:rsidP="00824BF1">
      <w:pPr>
        <w:pStyle w:val="ListBullet"/>
        <w:numPr>
          <w:ilvl w:val="2"/>
          <w:numId w:val="12"/>
        </w:numPr>
        <w:rPr>
          <w:color w:val="0000FF"/>
        </w:rPr>
      </w:pPr>
      <w:r w:rsidRPr="00824BF1">
        <w:rPr>
          <w:color w:val="0000FF"/>
        </w:rPr>
        <w:t>No update. US 36 Technical Requirements are in progress.</w:t>
      </w:r>
    </w:p>
    <w:p w:rsid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</w:p>
    <w:p w:rsidR="00824BF1" w:rsidRPr="00824BF1" w:rsidRDefault="00824BF1" w:rsidP="00824BF1">
      <w:pPr>
        <w:pStyle w:val="ListBullet"/>
        <w:numPr>
          <w:ilvl w:val="2"/>
          <w:numId w:val="12"/>
        </w:numPr>
        <w:rPr>
          <w:color w:val="0000FF"/>
        </w:rPr>
      </w:pPr>
      <w:r w:rsidRPr="00824BF1">
        <w:rPr>
          <w:color w:val="0000FF"/>
        </w:rPr>
        <w:t>Successor to Dave Poling is Don Garcia. Need to get him onboard and invited.</w:t>
      </w:r>
      <w:r>
        <w:rPr>
          <w:color w:val="0000FF"/>
        </w:rPr>
        <w:t xml:space="preserve"> – Action Item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BB755C">
        <w:t>Nabil Haddad</w:t>
      </w:r>
    </w:p>
    <w:p w:rsidR="00824BF1" w:rsidRPr="00824BF1" w:rsidRDefault="00824BF1" w:rsidP="00824BF1">
      <w:pPr>
        <w:pStyle w:val="ListParagraph"/>
        <w:numPr>
          <w:ilvl w:val="2"/>
          <w:numId w:val="12"/>
        </w:numPr>
        <w:rPr>
          <w:color w:val="0000FF"/>
        </w:rPr>
      </w:pPr>
      <w:r w:rsidRPr="00824BF1">
        <w:rPr>
          <w:color w:val="0000FF"/>
        </w:rPr>
        <w:t>Multiple Guides out there to reference for CDOT CMGC Guidebook</w:t>
      </w:r>
    </w:p>
    <w:p w:rsidR="00824BF1" w:rsidRPr="00824BF1" w:rsidRDefault="00824BF1" w:rsidP="00824BF1">
      <w:pPr>
        <w:pStyle w:val="ListParagraph"/>
        <w:numPr>
          <w:ilvl w:val="2"/>
          <w:numId w:val="12"/>
        </w:numPr>
        <w:rPr>
          <w:color w:val="0000FF"/>
        </w:rPr>
      </w:pPr>
      <w:r w:rsidRPr="00824BF1">
        <w:rPr>
          <w:color w:val="0000FF"/>
        </w:rPr>
        <w:t>Wait for more information when Nabil returns.</w:t>
      </w:r>
    </w:p>
    <w:p w:rsidR="00BB755C" w:rsidRDefault="00DE58D6" w:rsidP="00DE58D6">
      <w:pPr>
        <w:pStyle w:val="ListParagraph"/>
        <w:numPr>
          <w:ilvl w:val="1"/>
          <w:numId w:val="12"/>
        </w:numPr>
      </w:pPr>
      <w:r w:rsidRPr="00DE58D6">
        <w:t>Alternate Design QAT update:  Neil Lacey</w:t>
      </w:r>
    </w:p>
    <w:p w:rsidR="00DE58D6" w:rsidRPr="00824BF1" w:rsidRDefault="00BB755C" w:rsidP="00BB755C">
      <w:pPr>
        <w:pStyle w:val="ListParagraph"/>
        <w:numPr>
          <w:ilvl w:val="2"/>
          <w:numId w:val="12"/>
        </w:numPr>
        <w:rPr>
          <w:color w:val="0000FF"/>
        </w:rPr>
      </w:pPr>
      <w:r w:rsidRPr="00824BF1">
        <w:rPr>
          <w:color w:val="0000FF"/>
        </w:rPr>
        <w:t>This sub-committee will be closed. All committee deliverables and goals have been completed.</w:t>
      </w:r>
      <w:r w:rsidRPr="00824BF1">
        <w:rPr>
          <w:color w:val="0000FF"/>
        </w:rPr>
        <w:br/>
      </w:r>
    </w:p>
    <w:p w:rsidR="0010452E" w:rsidRDefault="00AA6A37" w:rsidP="00AA6A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Proposed DBE and ESB Specifications (Greg Diehl)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Greg sent out the draft flow chart for innovative projects.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Innovation and civil rights have some challenges.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 xml:space="preserve">Cost or point </w:t>
      </w:r>
      <w:proofErr w:type="gramStart"/>
      <w:r w:rsidRPr="00EC410A">
        <w:rPr>
          <w:color w:val="0000FF"/>
        </w:rPr>
        <w:t xml:space="preserve">value for selection </w:t>
      </w:r>
      <w:r w:rsidRPr="00EC410A">
        <w:rPr>
          <w:color w:val="0000FF"/>
        </w:rPr>
        <w:t>are</w:t>
      </w:r>
      <w:proofErr w:type="gramEnd"/>
      <w:r w:rsidRPr="00EC410A">
        <w:rPr>
          <w:color w:val="0000FF"/>
        </w:rPr>
        <w:t xml:space="preserve"> being discussed.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Pilot specification or cost based specification are being discussed.</w:t>
      </w:r>
    </w:p>
    <w:p w:rsidR="00EC410A" w:rsidRPr="00EC410A" w:rsidRDefault="00EC410A" w:rsidP="00EC410A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0000FF"/>
        </w:rPr>
      </w:pPr>
      <w:r w:rsidRPr="00EC410A">
        <w:rPr>
          <w:color w:val="0000FF"/>
        </w:rPr>
        <w:t>This is helping re-wire the DBE and ESB system at CDOT.</w:t>
      </w:r>
    </w:p>
    <w:p w:rsidR="006F56B5" w:rsidRDefault="006F56B5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EC410A" w:rsidRDefault="00EC410A" w:rsidP="00EC410A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I</w:t>
      </w:r>
      <w:r w:rsidRPr="00EC410A">
        <w:rPr>
          <w:bCs/>
          <w:color w:val="0000FF"/>
        </w:rPr>
        <w:t xml:space="preserve">-70/Pecos Meeting Minutes for Selection meeting is requested to be sent to the ICAC </w:t>
      </w:r>
      <w:r w:rsidRPr="00EC410A">
        <w:rPr>
          <w:b/>
          <w:bCs/>
        </w:rPr>
        <w:t>– Action Item</w:t>
      </w:r>
    </w:p>
    <w:p w:rsidR="00EC410A" w:rsidRDefault="00EC410A" w:rsidP="00EC410A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/>
          <w:bCs/>
        </w:rPr>
      </w:pPr>
      <w:r w:rsidRPr="00EC410A">
        <w:rPr>
          <w:bCs/>
          <w:color w:val="0000FF"/>
        </w:rPr>
        <w:t xml:space="preserve">Reserve Bridge Room 107B </w:t>
      </w:r>
      <w:r w:rsidRPr="00EC410A">
        <w:rPr>
          <w:b/>
          <w:bCs/>
          <w:color w:val="0000FF"/>
        </w:rPr>
        <w:t xml:space="preserve">– </w:t>
      </w:r>
      <w:r>
        <w:rPr>
          <w:b/>
          <w:bCs/>
        </w:rPr>
        <w:t>Action Item</w:t>
      </w:r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95E54">
        <w:rPr>
          <w:bCs/>
        </w:rPr>
        <w:t xml:space="preserve"> July 28</w:t>
      </w:r>
      <w:r w:rsidR="00695E54" w:rsidRPr="00695E54">
        <w:rPr>
          <w:bCs/>
          <w:vertAlign w:val="superscript"/>
        </w:rPr>
        <w:t>th</w:t>
      </w:r>
      <w:r w:rsidR="00695E54">
        <w:rPr>
          <w:bCs/>
        </w:rPr>
        <w:t>,</w:t>
      </w:r>
      <w:r w:rsidR="007C15C9">
        <w:rPr>
          <w:bCs/>
        </w:rPr>
        <w:t xml:space="preserve">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 xml:space="preserve">(CDOT HQ, </w:t>
      </w:r>
      <w:r w:rsidR="001A3AC3" w:rsidRPr="00966D12">
        <w:rPr>
          <w:bCs/>
        </w:rPr>
        <w:t>Bridge Room 107B</w:t>
      </w:r>
      <w:r w:rsidR="00264CAC" w:rsidRPr="00966D12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000A0"/>
    <w:rsid w:val="00630F93"/>
    <w:rsid w:val="00643EE0"/>
    <w:rsid w:val="0065189F"/>
    <w:rsid w:val="00652507"/>
    <w:rsid w:val="006840F9"/>
    <w:rsid w:val="00695E54"/>
    <w:rsid w:val="00697F90"/>
    <w:rsid w:val="006C477D"/>
    <w:rsid w:val="006D57AC"/>
    <w:rsid w:val="006E5D8E"/>
    <w:rsid w:val="006F460F"/>
    <w:rsid w:val="006F56B5"/>
    <w:rsid w:val="006F6F05"/>
    <w:rsid w:val="00710FBB"/>
    <w:rsid w:val="00725C3A"/>
    <w:rsid w:val="00736268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4BF1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76"/>
    <w:rsid w:val="00DE58D6"/>
    <w:rsid w:val="00DF318B"/>
    <w:rsid w:val="00E02C93"/>
    <w:rsid w:val="00E11BE6"/>
    <w:rsid w:val="00E13821"/>
    <w:rsid w:val="00E43237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826D-E67C-4D7B-BE0F-0DD4187D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Acimovic, Benjamin</cp:lastModifiedBy>
  <cp:revision>6</cp:revision>
  <cp:lastPrinted>2011-07-15T18:26:00Z</cp:lastPrinted>
  <dcterms:created xsi:type="dcterms:W3CDTF">2011-07-15T16:38:00Z</dcterms:created>
  <dcterms:modified xsi:type="dcterms:W3CDTF">2011-07-15T18:26:00Z</dcterms:modified>
</cp:coreProperties>
</file>