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12" w:space="0" w:color="auto"/>
        </w:tblBorders>
        <w:tblLook w:val="0000" w:firstRow="0" w:lastRow="0" w:firstColumn="0" w:lastColumn="0" w:noHBand="0" w:noVBand="0"/>
      </w:tblPr>
      <w:tblGrid>
        <w:gridCol w:w="7776"/>
      </w:tblGrid>
      <w:tr w:rsidR="002B0734" w:rsidTr="00F22EA2">
        <w:trPr>
          <w:cantSplit/>
          <w:trHeight w:hRule="exact" w:val="1872"/>
        </w:trPr>
        <w:tc>
          <w:tcPr>
            <w:tcW w:w="7776" w:type="dxa"/>
          </w:tcPr>
          <w:p w:rsidR="002B0734" w:rsidRDefault="002B0734">
            <w:pPr>
              <w:pStyle w:val="CoverType"/>
            </w:pPr>
          </w:p>
        </w:tc>
      </w:tr>
      <w:tr w:rsidR="002B0734" w:rsidTr="00F22EA2">
        <w:trPr>
          <w:cantSplit/>
          <w:trHeight w:hRule="exact" w:val="3744"/>
        </w:trPr>
        <w:tc>
          <w:tcPr>
            <w:tcW w:w="7776" w:type="dxa"/>
          </w:tcPr>
          <w:p w:rsidR="002B0734" w:rsidRDefault="006A791B">
            <w:pPr>
              <w:pStyle w:val="CoverTitle"/>
            </w:pPr>
            <w:r>
              <w:t>Benefit Cost Analysis</w:t>
            </w:r>
          </w:p>
          <w:p w:rsidR="006A791B" w:rsidRPr="006A791B" w:rsidRDefault="00C72FFF" w:rsidP="00352901">
            <w:pPr>
              <w:pStyle w:val="CoverTitle"/>
              <w:rPr>
                <w:sz w:val="28"/>
                <w:szCs w:val="28"/>
              </w:rPr>
            </w:pPr>
            <w:r w:rsidRPr="00DA1B2C">
              <w:rPr>
                <w:sz w:val="24"/>
                <w:szCs w:val="24"/>
              </w:rPr>
              <w:t xml:space="preserve">Colorado Department of Transportation’s (CDOT’s) TIGER proposal, </w:t>
            </w:r>
            <w:r w:rsidRPr="00DA1B2C">
              <w:rPr>
                <w:i/>
                <w:sz w:val="24"/>
                <w:szCs w:val="24"/>
              </w:rPr>
              <w:t>Leveraging Economic, Environmental and Social Benefits through I-25 Northern Colorado Expansion</w:t>
            </w:r>
          </w:p>
        </w:tc>
      </w:tr>
      <w:tr w:rsidR="002B0734" w:rsidTr="00F22EA2">
        <w:trPr>
          <w:cantSplit/>
          <w:trHeight w:hRule="exact" w:val="2376"/>
        </w:trPr>
        <w:tc>
          <w:tcPr>
            <w:tcW w:w="7776" w:type="dxa"/>
          </w:tcPr>
          <w:p w:rsidR="002B0734" w:rsidRPr="00392B51" w:rsidRDefault="002B0734">
            <w:pPr>
              <w:pStyle w:val="BodyText"/>
            </w:pPr>
            <w:r w:rsidRPr="00392B51">
              <w:t>Prepared for</w:t>
            </w:r>
          </w:p>
          <w:p w:rsidR="002B0734" w:rsidRDefault="001A6F1C">
            <w:pPr>
              <w:pStyle w:val="CoverClient"/>
            </w:pPr>
            <w:r>
              <w:t>Colorado Department of Transportation</w:t>
            </w:r>
          </w:p>
          <w:p w:rsidR="002B0734" w:rsidRDefault="002B0734">
            <w:pPr>
              <w:pStyle w:val="CoverClient"/>
            </w:pPr>
          </w:p>
          <w:p w:rsidR="006A791B" w:rsidRDefault="006A791B">
            <w:pPr>
              <w:pStyle w:val="CoverClient"/>
            </w:pPr>
          </w:p>
          <w:p w:rsidR="006A791B" w:rsidRDefault="006A791B">
            <w:pPr>
              <w:pStyle w:val="CoverClient"/>
            </w:pPr>
          </w:p>
          <w:p w:rsidR="002B0734" w:rsidRDefault="002B0734" w:rsidP="006A791B">
            <w:pPr>
              <w:pStyle w:val="CoverClient"/>
            </w:pPr>
          </w:p>
        </w:tc>
      </w:tr>
      <w:tr w:rsidR="002B0734" w:rsidTr="00F22EA2">
        <w:trPr>
          <w:cantSplit/>
          <w:trHeight w:hRule="exact" w:val="3456"/>
        </w:trPr>
        <w:tc>
          <w:tcPr>
            <w:tcW w:w="7776" w:type="dxa"/>
          </w:tcPr>
          <w:p w:rsidR="002B0734" w:rsidRDefault="002B0734">
            <w:pPr>
              <w:pStyle w:val="CoverSigblock"/>
              <w:tabs>
                <w:tab w:val="left" w:pos="4000"/>
              </w:tabs>
              <w:spacing w:before="720"/>
            </w:pPr>
          </w:p>
        </w:tc>
      </w:tr>
      <w:tr w:rsidR="002B0734" w:rsidTr="00F22EA2">
        <w:trPr>
          <w:cantSplit/>
          <w:trHeight w:hRule="exact" w:val="720"/>
        </w:trPr>
        <w:tc>
          <w:tcPr>
            <w:tcW w:w="7776" w:type="dxa"/>
          </w:tcPr>
          <w:p w:rsidR="002B0734" w:rsidRDefault="006A791B" w:rsidP="00160EDE">
            <w:pPr>
              <w:pStyle w:val="LetterAddress"/>
            </w:pPr>
            <w:r>
              <w:t xml:space="preserve">April </w:t>
            </w:r>
            <w:r w:rsidR="00160EDE">
              <w:t>18</w:t>
            </w:r>
            <w:r w:rsidRPr="006A791B">
              <w:rPr>
                <w:vertAlign w:val="superscript"/>
              </w:rPr>
              <w:t>th</w:t>
            </w:r>
            <w:r>
              <w:t xml:space="preserve"> 2016</w:t>
            </w:r>
          </w:p>
        </w:tc>
      </w:tr>
      <w:tr w:rsidR="002B0734" w:rsidTr="00F22EA2">
        <w:trPr>
          <w:cantSplit/>
          <w:trHeight w:hRule="exact" w:val="576"/>
        </w:trPr>
        <w:tc>
          <w:tcPr>
            <w:tcW w:w="7776" w:type="dxa"/>
          </w:tcPr>
          <w:p w:rsidR="002B0734" w:rsidRDefault="001875EE" w:rsidP="00392B51">
            <w:r>
              <w:rPr>
                <w:noProof/>
              </w:rPr>
              <w:drawing>
                <wp:inline distT="0" distB="0" distL="0" distR="0">
                  <wp:extent cx="952500" cy="3404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black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205" cy="340683"/>
                          </a:xfrm>
                          <a:prstGeom prst="rect">
                            <a:avLst/>
                          </a:prstGeom>
                        </pic:spPr>
                      </pic:pic>
                    </a:graphicData>
                  </a:graphic>
                </wp:inline>
              </w:drawing>
            </w:r>
          </w:p>
        </w:tc>
      </w:tr>
      <w:tr w:rsidR="002B0734" w:rsidTr="00F22EA2">
        <w:trPr>
          <w:cantSplit/>
          <w:trHeight w:hRule="exact" w:val="864"/>
        </w:trPr>
        <w:tc>
          <w:tcPr>
            <w:tcW w:w="7776" w:type="dxa"/>
          </w:tcPr>
          <w:p w:rsidR="002B0734" w:rsidRDefault="00B8468D">
            <w:pPr>
              <w:pStyle w:val="CoverSubsidiary"/>
            </w:pPr>
            <w:r>
              <w:t>4225 Executive Square, Suite 14</w:t>
            </w:r>
            <w:r w:rsidR="00C7533D">
              <w:t>00</w:t>
            </w:r>
          </w:p>
          <w:p w:rsidR="00C7533D" w:rsidRDefault="00C7533D">
            <w:pPr>
              <w:pStyle w:val="CoverSubsidiary"/>
            </w:pPr>
            <w:r>
              <w:t>La Jolla, CA 92037</w:t>
            </w:r>
          </w:p>
          <w:p w:rsidR="002B0734" w:rsidRDefault="00C7533D">
            <w:pPr>
              <w:pStyle w:val="CoverSubsidiary"/>
              <w:tabs>
                <w:tab w:val="left" w:pos="1600"/>
              </w:tabs>
            </w:pPr>
            <w:r>
              <w:t>858.812.9292</w:t>
            </w:r>
            <w:r>
              <w:tab/>
              <w:t>Fax: 858.812.9293</w:t>
            </w:r>
          </w:p>
        </w:tc>
      </w:tr>
    </w:tbl>
    <w:p w:rsidR="002B0734" w:rsidRPr="00392B51" w:rsidRDefault="002B0734"/>
    <w:p w:rsidR="002B0734" w:rsidRDefault="002B0734">
      <w:pPr>
        <w:sectPr w:rsidR="002B0734" w:rsidSect="002865F6">
          <w:headerReference w:type="even" r:id="rId10"/>
          <w:headerReference w:type="default" r:id="rId11"/>
          <w:headerReference w:type="first" r:id="rId12"/>
          <w:pgSz w:w="12240" w:h="15840" w:code="1"/>
          <w:pgMar w:top="720" w:right="1440" w:bottom="720" w:left="32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FA4CC7" w:rsidRDefault="00383D01">
      <w:pPr>
        <w:pStyle w:val="TOC1"/>
        <w:rPr>
          <w:rFonts w:asciiTheme="minorHAnsi" w:eastAsiaTheme="minorEastAsia" w:hAnsiTheme="minorHAnsi" w:cstheme="minorBidi"/>
          <w:b w:val="0"/>
          <w:bCs w:val="0"/>
          <w:noProof/>
          <w:szCs w:val="22"/>
        </w:rPr>
      </w:pPr>
      <w:r>
        <w:lastRenderedPageBreak/>
        <w:fldChar w:fldCharType="begin"/>
      </w:r>
      <w:r>
        <w:instrText xml:space="preserve"> TOC \o "1-4" \h \z \u </w:instrText>
      </w:r>
      <w:r>
        <w:fldChar w:fldCharType="separate"/>
      </w:r>
      <w:hyperlink w:anchor="_Toc448780299" w:history="1">
        <w:r w:rsidR="00FA4CC7" w:rsidRPr="00237B85">
          <w:rPr>
            <w:rStyle w:val="Hyperlink"/>
            <w:noProof/>
          </w:rPr>
          <w:t>Section 1</w:t>
        </w:r>
        <w:r w:rsidR="00FA4CC7">
          <w:rPr>
            <w:rFonts w:asciiTheme="minorHAnsi" w:eastAsiaTheme="minorEastAsia" w:hAnsiTheme="minorHAnsi" w:cstheme="minorBidi"/>
            <w:b w:val="0"/>
            <w:bCs w:val="0"/>
            <w:noProof/>
            <w:szCs w:val="22"/>
          </w:rPr>
          <w:tab/>
        </w:r>
        <w:r w:rsidR="00FA4CC7" w:rsidRPr="00237B85">
          <w:rPr>
            <w:rStyle w:val="Hyperlink"/>
            <w:noProof/>
          </w:rPr>
          <w:t>Introduction</w:t>
        </w:r>
        <w:r w:rsidR="00FA4CC7">
          <w:rPr>
            <w:noProof/>
            <w:webHidden/>
          </w:rPr>
          <w:tab/>
        </w:r>
        <w:r w:rsidR="00FA4CC7">
          <w:rPr>
            <w:noProof/>
            <w:webHidden/>
          </w:rPr>
          <w:fldChar w:fldCharType="begin"/>
        </w:r>
        <w:r w:rsidR="00FA4CC7">
          <w:rPr>
            <w:noProof/>
            <w:webHidden/>
          </w:rPr>
          <w:instrText xml:space="preserve"> PAGEREF _Toc448780299 \h </w:instrText>
        </w:r>
        <w:r w:rsidR="00FA4CC7">
          <w:rPr>
            <w:noProof/>
            <w:webHidden/>
          </w:rPr>
        </w:r>
        <w:r w:rsidR="00FA4CC7">
          <w:rPr>
            <w:noProof/>
            <w:webHidden/>
          </w:rPr>
          <w:fldChar w:fldCharType="separate"/>
        </w:r>
        <w:r w:rsidR="00FA4CC7">
          <w:rPr>
            <w:noProof/>
            <w:webHidden/>
          </w:rPr>
          <w:t>1-1</w:t>
        </w:r>
        <w:r w:rsidR="00FA4CC7">
          <w:rPr>
            <w:noProof/>
            <w:webHidden/>
          </w:rPr>
          <w:fldChar w:fldCharType="end"/>
        </w:r>
      </w:hyperlink>
    </w:p>
    <w:p w:rsidR="00FA4CC7" w:rsidRDefault="00FA4CC7">
      <w:pPr>
        <w:pStyle w:val="TOC1"/>
        <w:rPr>
          <w:rFonts w:asciiTheme="minorHAnsi" w:eastAsiaTheme="minorEastAsia" w:hAnsiTheme="minorHAnsi" w:cstheme="minorBidi"/>
          <w:b w:val="0"/>
          <w:bCs w:val="0"/>
          <w:noProof/>
          <w:szCs w:val="22"/>
        </w:rPr>
      </w:pPr>
      <w:hyperlink w:anchor="_Toc448780300" w:history="1">
        <w:r w:rsidRPr="00237B85">
          <w:rPr>
            <w:rStyle w:val="Hyperlink"/>
            <w:rFonts w:ascii="Times New Roman" w:hAnsi="Times New Roman"/>
            <w:noProof/>
          </w:rPr>
          <w:t>Section 2</w:t>
        </w:r>
        <w:r>
          <w:rPr>
            <w:rFonts w:asciiTheme="minorHAnsi" w:eastAsiaTheme="minorEastAsia" w:hAnsiTheme="minorHAnsi" w:cstheme="minorBidi"/>
            <w:b w:val="0"/>
            <w:bCs w:val="0"/>
            <w:noProof/>
            <w:szCs w:val="22"/>
          </w:rPr>
          <w:tab/>
        </w:r>
        <w:r w:rsidRPr="00237B85">
          <w:rPr>
            <w:rStyle w:val="Hyperlink"/>
            <w:rFonts w:ascii="Times New Roman" w:hAnsi="Times New Roman"/>
            <w:noProof/>
          </w:rPr>
          <w:t>Benefits Analysis Assumptions</w:t>
        </w:r>
        <w:r>
          <w:rPr>
            <w:noProof/>
            <w:webHidden/>
          </w:rPr>
          <w:tab/>
        </w:r>
        <w:r>
          <w:rPr>
            <w:noProof/>
            <w:webHidden/>
          </w:rPr>
          <w:fldChar w:fldCharType="begin"/>
        </w:r>
        <w:r>
          <w:rPr>
            <w:noProof/>
            <w:webHidden/>
          </w:rPr>
          <w:instrText xml:space="preserve"> PAGEREF _Toc448780300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01" w:history="1">
        <w:r w:rsidRPr="00237B85">
          <w:rPr>
            <w:rStyle w:val="Hyperlink"/>
            <w:noProof/>
          </w:rPr>
          <w:t>2.1</w:t>
        </w:r>
        <w:r>
          <w:rPr>
            <w:rFonts w:asciiTheme="minorHAnsi" w:eastAsiaTheme="minorEastAsia" w:hAnsiTheme="minorHAnsi" w:cstheme="minorBidi"/>
            <w:noProof/>
            <w:szCs w:val="22"/>
          </w:rPr>
          <w:tab/>
        </w:r>
        <w:r w:rsidRPr="00237B85">
          <w:rPr>
            <w:rStyle w:val="Hyperlink"/>
            <w:noProof/>
          </w:rPr>
          <w:t>Analytical Assumptions</w:t>
        </w:r>
        <w:r>
          <w:rPr>
            <w:noProof/>
            <w:webHidden/>
          </w:rPr>
          <w:tab/>
        </w:r>
        <w:r>
          <w:rPr>
            <w:noProof/>
            <w:webHidden/>
          </w:rPr>
          <w:fldChar w:fldCharType="begin"/>
        </w:r>
        <w:r>
          <w:rPr>
            <w:noProof/>
            <w:webHidden/>
          </w:rPr>
          <w:instrText xml:space="preserve"> PAGEREF _Toc448780301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02" w:history="1">
        <w:r w:rsidRPr="00237B85">
          <w:rPr>
            <w:rStyle w:val="Hyperlink"/>
            <w:noProof/>
          </w:rPr>
          <w:t>2.1.1</w:t>
        </w:r>
        <w:r>
          <w:rPr>
            <w:rFonts w:asciiTheme="minorHAnsi" w:eastAsiaTheme="minorEastAsia" w:hAnsiTheme="minorHAnsi" w:cstheme="minorBidi"/>
            <w:noProof/>
            <w:szCs w:val="22"/>
          </w:rPr>
          <w:tab/>
        </w:r>
        <w:r w:rsidRPr="00237B85">
          <w:rPr>
            <w:rStyle w:val="Hyperlink"/>
            <w:noProof/>
          </w:rPr>
          <w:t>Assumptions – General</w:t>
        </w:r>
        <w:r>
          <w:rPr>
            <w:noProof/>
            <w:webHidden/>
          </w:rPr>
          <w:tab/>
        </w:r>
        <w:r>
          <w:rPr>
            <w:noProof/>
            <w:webHidden/>
          </w:rPr>
          <w:fldChar w:fldCharType="begin"/>
        </w:r>
        <w:r>
          <w:rPr>
            <w:noProof/>
            <w:webHidden/>
          </w:rPr>
          <w:instrText xml:space="preserve"> PAGEREF _Toc448780302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03" w:history="1">
        <w:r w:rsidRPr="00237B85">
          <w:rPr>
            <w:rStyle w:val="Hyperlink"/>
            <w:noProof/>
          </w:rPr>
          <w:t>2.1.1.1</w:t>
        </w:r>
        <w:r>
          <w:rPr>
            <w:rFonts w:asciiTheme="minorHAnsi" w:eastAsiaTheme="minorEastAsia" w:hAnsiTheme="minorHAnsi" w:cstheme="minorBidi"/>
            <w:noProof/>
            <w:szCs w:val="22"/>
          </w:rPr>
          <w:tab/>
        </w:r>
        <w:r w:rsidRPr="00237B85">
          <w:rPr>
            <w:rStyle w:val="Hyperlink"/>
            <w:noProof/>
          </w:rPr>
          <w:t>Discount Rates</w:t>
        </w:r>
        <w:r>
          <w:rPr>
            <w:noProof/>
            <w:webHidden/>
          </w:rPr>
          <w:tab/>
        </w:r>
        <w:r>
          <w:rPr>
            <w:noProof/>
            <w:webHidden/>
          </w:rPr>
          <w:fldChar w:fldCharType="begin"/>
        </w:r>
        <w:r>
          <w:rPr>
            <w:noProof/>
            <w:webHidden/>
          </w:rPr>
          <w:instrText xml:space="preserve"> PAGEREF _Toc448780303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04" w:history="1">
        <w:r w:rsidRPr="00237B85">
          <w:rPr>
            <w:rStyle w:val="Hyperlink"/>
            <w:noProof/>
          </w:rPr>
          <w:t>2.1.1.2</w:t>
        </w:r>
        <w:r>
          <w:rPr>
            <w:rFonts w:asciiTheme="minorHAnsi" w:eastAsiaTheme="minorEastAsia" w:hAnsiTheme="minorHAnsi" w:cstheme="minorBidi"/>
            <w:noProof/>
            <w:szCs w:val="22"/>
          </w:rPr>
          <w:tab/>
        </w:r>
        <w:r w:rsidRPr="00237B85">
          <w:rPr>
            <w:rStyle w:val="Hyperlink"/>
            <w:noProof/>
          </w:rPr>
          <w:t>Evaluation Period</w:t>
        </w:r>
        <w:r>
          <w:rPr>
            <w:noProof/>
            <w:webHidden/>
          </w:rPr>
          <w:tab/>
        </w:r>
        <w:r>
          <w:rPr>
            <w:noProof/>
            <w:webHidden/>
          </w:rPr>
          <w:fldChar w:fldCharType="begin"/>
        </w:r>
        <w:r>
          <w:rPr>
            <w:noProof/>
            <w:webHidden/>
          </w:rPr>
          <w:instrText xml:space="preserve"> PAGEREF _Toc448780304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05" w:history="1">
        <w:r w:rsidRPr="00237B85">
          <w:rPr>
            <w:rStyle w:val="Hyperlink"/>
            <w:noProof/>
          </w:rPr>
          <w:t>2.1.1.3</w:t>
        </w:r>
        <w:r>
          <w:rPr>
            <w:rFonts w:asciiTheme="minorHAnsi" w:eastAsiaTheme="minorEastAsia" w:hAnsiTheme="minorHAnsi" w:cstheme="minorBidi"/>
            <w:noProof/>
            <w:szCs w:val="22"/>
          </w:rPr>
          <w:tab/>
        </w:r>
        <w:r w:rsidRPr="00237B85">
          <w:rPr>
            <w:rStyle w:val="Hyperlink"/>
            <w:noProof/>
          </w:rPr>
          <w:t>Key Benefit-Cost Evaluation Measures</w:t>
        </w:r>
        <w:r>
          <w:rPr>
            <w:noProof/>
            <w:webHidden/>
          </w:rPr>
          <w:tab/>
        </w:r>
        <w:r>
          <w:rPr>
            <w:noProof/>
            <w:webHidden/>
          </w:rPr>
          <w:fldChar w:fldCharType="begin"/>
        </w:r>
        <w:r>
          <w:rPr>
            <w:noProof/>
            <w:webHidden/>
          </w:rPr>
          <w:instrText xml:space="preserve"> PAGEREF _Toc448780305 \h </w:instrText>
        </w:r>
        <w:r>
          <w:rPr>
            <w:noProof/>
            <w:webHidden/>
          </w:rPr>
        </w:r>
        <w:r>
          <w:rPr>
            <w:noProof/>
            <w:webHidden/>
          </w:rPr>
          <w:fldChar w:fldCharType="separate"/>
        </w:r>
        <w:r>
          <w:rPr>
            <w:noProof/>
            <w:webHidden/>
          </w:rPr>
          <w:t>2-3</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07" w:history="1">
        <w:r w:rsidRPr="00237B85">
          <w:rPr>
            <w:rStyle w:val="Hyperlink"/>
            <w:noProof/>
          </w:rPr>
          <w:t>2.1.2</w:t>
        </w:r>
        <w:r>
          <w:rPr>
            <w:rFonts w:asciiTheme="minorHAnsi" w:eastAsiaTheme="minorEastAsia" w:hAnsiTheme="minorHAnsi" w:cstheme="minorBidi"/>
            <w:noProof/>
            <w:szCs w:val="22"/>
          </w:rPr>
          <w:tab/>
        </w:r>
        <w:r w:rsidRPr="00237B85">
          <w:rPr>
            <w:rStyle w:val="Hyperlink"/>
            <w:noProof/>
          </w:rPr>
          <w:t>Assumptions – Travel Demand and Travel Time</w:t>
        </w:r>
        <w:r>
          <w:rPr>
            <w:noProof/>
            <w:webHidden/>
          </w:rPr>
          <w:tab/>
        </w:r>
        <w:r>
          <w:rPr>
            <w:noProof/>
            <w:webHidden/>
          </w:rPr>
          <w:fldChar w:fldCharType="begin"/>
        </w:r>
        <w:r>
          <w:rPr>
            <w:noProof/>
            <w:webHidden/>
          </w:rPr>
          <w:instrText xml:space="preserve"> PAGEREF _Toc448780307 \h </w:instrText>
        </w:r>
        <w:r>
          <w:rPr>
            <w:noProof/>
            <w:webHidden/>
          </w:rPr>
        </w:r>
        <w:r>
          <w:rPr>
            <w:noProof/>
            <w:webHidden/>
          </w:rPr>
          <w:fldChar w:fldCharType="separate"/>
        </w:r>
        <w:r>
          <w:rPr>
            <w:noProof/>
            <w:webHidden/>
          </w:rPr>
          <w:t>2-4</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08" w:history="1">
        <w:r w:rsidRPr="00237B85">
          <w:rPr>
            <w:rStyle w:val="Hyperlink"/>
            <w:noProof/>
          </w:rPr>
          <w:t>2.1.2.1</w:t>
        </w:r>
        <w:r>
          <w:rPr>
            <w:rFonts w:asciiTheme="minorHAnsi" w:eastAsiaTheme="minorEastAsia" w:hAnsiTheme="minorHAnsi" w:cstheme="minorBidi"/>
            <w:noProof/>
            <w:szCs w:val="22"/>
          </w:rPr>
          <w:tab/>
        </w:r>
        <w:r w:rsidRPr="00237B85">
          <w:rPr>
            <w:rStyle w:val="Hyperlink"/>
            <w:noProof/>
          </w:rPr>
          <w:t>Travel Demand Assumptions</w:t>
        </w:r>
        <w:r>
          <w:rPr>
            <w:noProof/>
            <w:webHidden/>
          </w:rPr>
          <w:tab/>
        </w:r>
        <w:r>
          <w:rPr>
            <w:noProof/>
            <w:webHidden/>
          </w:rPr>
          <w:fldChar w:fldCharType="begin"/>
        </w:r>
        <w:r>
          <w:rPr>
            <w:noProof/>
            <w:webHidden/>
          </w:rPr>
          <w:instrText xml:space="preserve"> PAGEREF _Toc448780308 \h </w:instrText>
        </w:r>
        <w:r>
          <w:rPr>
            <w:noProof/>
            <w:webHidden/>
          </w:rPr>
        </w:r>
        <w:r>
          <w:rPr>
            <w:noProof/>
            <w:webHidden/>
          </w:rPr>
          <w:fldChar w:fldCharType="separate"/>
        </w:r>
        <w:r>
          <w:rPr>
            <w:noProof/>
            <w:webHidden/>
          </w:rPr>
          <w:t>2-4</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09" w:history="1">
        <w:r w:rsidRPr="00237B85">
          <w:rPr>
            <w:rStyle w:val="Hyperlink"/>
            <w:noProof/>
          </w:rPr>
          <w:t>2.1.2.2</w:t>
        </w:r>
        <w:r>
          <w:rPr>
            <w:rFonts w:asciiTheme="minorHAnsi" w:eastAsiaTheme="minorEastAsia" w:hAnsiTheme="minorHAnsi" w:cstheme="minorBidi"/>
            <w:noProof/>
            <w:szCs w:val="22"/>
          </w:rPr>
          <w:tab/>
        </w:r>
        <w:r w:rsidRPr="00237B85">
          <w:rPr>
            <w:rStyle w:val="Hyperlink"/>
            <w:noProof/>
          </w:rPr>
          <w:t>Traffic Volumes in Assessment Corridor</w:t>
        </w:r>
        <w:r>
          <w:rPr>
            <w:noProof/>
            <w:webHidden/>
          </w:rPr>
          <w:tab/>
        </w:r>
        <w:r>
          <w:rPr>
            <w:noProof/>
            <w:webHidden/>
          </w:rPr>
          <w:fldChar w:fldCharType="begin"/>
        </w:r>
        <w:r>
          <w:rPr>
            <w:noProof/>
            <w:webHidden/>
          </w:rPr>
          <w:instrText xml:space="preserve"> PAGEREF _Toc448780309 \h </w:instrText>
        </w:r>
        <w:r>
          <w:rPr>
            <w:noProof/>
            <w:webHidden/>
          </w:rPr>
        </w:r>
        <w:r>
          <w:rPr>
            <w:noProof/>
            <w:webHidden/>
          </w:rPr>
          <w:fldChar w:fldCharType="separate"/>
        </w:r>
        <w:r>
          <w:rPr>
            <w:noProof/>
            <w:webHidden/>
          </w:rPr>
          <w:t>2-4</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0" w:history="1">
        <w:r w:rsidRPr="00237B85">
          <w:rPr>
            <w:rStyle w:val="Hyperlink"/>
            <w:noProof/>
          </w:rPr>
          <w:t>2.1.2.3</w:t>
        </w:r>
        <w:r>
          <w:rPr>
            <w:rFonts w:asciiTheme="minorHAnsi" w:eastAsiaTheme="minorEastAsia" w:hAnsiTheme="minorHAnsi" w:cstheme="minorBidi"/>
            <w:noProof/>
            <w:szCs w:val="22"/>
          </w:rPr>
          <w:tab/>
        </w:r>
        <w:r w:rsidRPr="00237B85">
          <w:rPr>
            <w:rStyle w:val="Hyperlink"/>
            <w:noProof/>
          </w:rPr>
          <w:t>Travel Demand Sources and Forecast Years</w:t>
        </w:r>
        <w:r>
          <w:rPr>
            <w:noProof/>
            <w:webHidden/>
          </w:rPr>
          <w:tab/>
        </w:r>
        <w:r>
          <w:rPr>
            <w:noProof/>
            <w:webHidden/>
          </w:rPr>
          <w:fldChar w:fldCharType="begin"/>
        </w:r>
        <w:r>
          <w:rPr>
            <w:noProof/>
            <w:webHidden/>
          </w:rPr>
          <w:instrText xml:space="preserve"> PAGEREF _Toc448780310 \h </w:instrText>
        </w:r>
        <w:r>
          <w:rPr>
            <w:noProof/>
            <w:webHidden/>
          </w:rPr>
        </w:r>
        <w:r>
          <w:rPr>
            <w:noProof/>
            <w:webHidden/>
          </w:rPr>
          <w:fldChar w:fldCharType="separate"/>
        </w:r>
        <w:r>
          <w:rPr>
            <w:noProof/>
            <w:webHidden/>
          </w:rPr>
          <w:t>2-5</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1" w:history="1">
        <w:r w:rsidRPr="00237B85">
          <w:rPr>
            <w:rStyle w:val="Hyperlink"/>
            <w:noProof/>
          </w:rPr>
          <w:t>2.1.2.4</w:t>
        </w:r>
        <w:r>
          <w:rPr>
            <w:rFonts w:asciiTheme="minorHAnsi" w:eastAsiaTheme="minorEastAsia" w:hAnsiTheme="minorHAnsi" w:cstheme="minorBidi"/>
            <w:noProof/>
            <w:szCs w:val="22"/>
          </w:rPr>
          <w:tab/>
        </w:r>
        <w:r w:rsidRPr="00237B85">
          <w:rPr>
            <w:rStyle w:val="Hyperlink"/>
            <w:noProof/>
          </w:rPr>
          <w:t>Bicycle Commuter Data</w:t>
        </w:r>
        <w:r>
          <w:rPr>
            <w:noProof/>
            <w:webHidden/>
          </w:rPr>
          <w:tab/>
        </w:r>
        <w:r>
          <w:rPr>
            <w:noProof/>
            <w:webHidden/>
          </w:rPr>
          <w:fldChar w:fldCharType="begin"/>
        </w:r>
        <w:r>
          <w:rPr>
            <w:noProof/>
            <w:webHidden/>
          </w:rPr>
          <w:instrText xml:space="preserve"> PAGEREF _Toc448780311 \h </w:instrText>
        </w:r>
        <w:r>
          <w:rPr>
            <w:noProof/>
            <w:webHidden/>
          </w:rPr>
        </w:r>
        <w:r>
          <w:rPr>
            <w:noProof/>
            <w:webHidden/>
          </w:rPr>
          <w:fldChar w:fldCharType="separate"/>
        </w:r>
        <w:r>
          <w:rPr>
            <w:noProof/>
            <w:webHidden/>
          </w:rPr>
          <w:t>2-5</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2" w:history="1">
        <w:r w:rsidRPr="00237B85">
          <w:rPr>
            <w:rStyle w:val="Hyperlink"/>
            <w:noProof/>
          </w:rPr>
          <w:t>2.1.2.5</w:t>
        </w:r>
        <w:r>
          <w:rPr>
            <w:rFonts w:asciiTheme="minorHAnsi" w:eastAsiaTheme="minorEastAsia" w:hAnsiTheme="minorHAnsi" w:cstheme="minorBidi"/>
            <w:noProof/>
            <w:szCs w:val="22"/>
          </w:rPr>
          <w:tab/>
        </w:r>
        <w:r w:rsidRPr="00237B85">
          <w:rPr>
            <w:rStyle w:val="Hyperlink"/>
            <w:noProof/>
          </w:rPr>
          <w:t>Travel Time Savings</w:t>
        </w:r>
        <w:r>
          <w:rPr>
            <w:noProof/>
            <w:webHidden/>
          </w:rPr>
          <w:tab/>
        </w:r>
        <w:r>
          <w:rPr>
            <w:noProof/>
            <w:webHidden/>
          </w:rPr>
          <w:fldChar w:fldCharType="begin"/>
        </w:r>
        <w:r>
          <w:rPr>
            <w:noProof/>
            <w:webHidden/>
          </w:rPr>
          <w:instrText xml:space="preserve"> PAGEREF _Toc448780312 \h </w:instrText>
        </w:r>
        <w:r>
          <w:rPr>
            <w:noProof/>
            <w:webHidden/>
          </w:rPr>
        </w:r>
        <w:r>
          <w:rPr>
            <w:noProof/>
            <w:webHidden/>
          </w:rPr>
          <w:fldChar w:fldCharType="separate"/>
        </w:r>
        <w:r>
          <w:rPr>
            <w:noProof/>
            <w:webHidden/>
          </w:rPr>
          <w:t>2-5</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3" w:history="1">
        <w:r w:rsidRPr="00237B85">
          <w:rPr>
            <w:rStyle w:val="Hyperlink"/>
            <w:noProof/>
          </w:rPr>
          <w:t>2.1.2.6</w:t>
        </w:r>
        <w:r>
          <w:rPr>
            <w:rFonts w:asciiTheme="minorHAnsi" w:eastAsiaTheme="minorEastAsia" w:hAnsiTheme="minorHAnsi" w:cstheme="minorBidi"/>
            <w:noProof/>
            <w:szCs w:val="22"/>
          </w:rPr>
          <w:tab/>
        </w:r>
        <w:r w:rsidRPr="00237B85">
          <w:rPr>
            <w:rStyle w:val="Hyperlink"/>
            <w:noProof/>
          </w:rPr>
          <w:t>Annualization Factor</w:t>
        </w:r>
        <w:r>
          <w:rPr>
            <w:noProof/>
            <w:webHidden/>
          </w:rPr>
          <w:tab/>
        </w:r>
        <w:r>
          <w:rPr>
            <w:noProof/>
            <w:webHidden/>
          </w:rPr>
          <w:fldChar w:fldCharType="begin"/>
        </w:r>
        <w:r>
          <w:rPr>
            <w:noProof/>
            <w:webHidden/>
          </w:rPr>
          <w:instrText xml:space="preserve"> PAGEREF _Toc448780313 \h </w:instrText>
        </w:r>
        <w:r>
          <w:rPr>
            <w:noProof/>
            <w:webHidden/>
          </w:rPr>
        </w:r>
        <w:r>
          <w:rPr>
            <w:noProof/>
            <w:webHidden/>
          </w:rPr>
          <w:fldChar w:fldCharType="separate"/>
        </w:r>
        <w:r>
          <w:rPr>
            <w:noProof/>
            <w:webHidden/>
          </w:rPr>
          <w:t>2-6</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4" w:history="1">
        <w:r w:rsidRPr="00237B85">
          <w:rPr>
            <w:rStyle w:val="Hyperlink"/>
            <w:noProof/>
          </w:rPr>
          <w:t>2.1.2.7</w:t>
        </w:r>
        <w:r>
          <w:rPr>
            <w:rFonts w:asciiTheme="minorHAnsi" w:eastAsiaTheme="minorEastAsia" w:hAnsiTheme="minorHAnsi" w:cstheme="minorBidi"/>
            <w:noProof/>
            <w:szCs w:val="22"/>
          </w:rPr>
          <w:tab/>
        </w:r>
        <w:r w:rsidRPr="00237B85">
          <w:rPr>
            <w:rStyle w:val="Hyperlink"/>
            <w:noProof/>
          </w:rPr>
          <w:t>Value of Time</w:t>
        </w:r>
        <w:r>
          <w:rPr>
            <w:noProof/>
            <w:webHidden/>
          </w:rPr>
          <w:tab/>
        </w:r>
        <w:r>
          <w:rPr>
            <w:noProof/>
            <w:webHidden/>
          </w:rPr>
          <w:fldChar w:fldCharType="begin"/>
        </w:r>
        <w:r>
          <w:rPr>
            <w:noProof/>
            <w:webHidden/>
          </w:rPr>
          <w:instrText xml:space="preserve"> PAGEREF _Toc448780314 \h </w:instrText>
        </w:r>
        <w:r>
          <w:rPr>
            <w:noProof/>
            <w:webHidden/>
          </w:rPr>
        </w:r>
        <w:r>
          <w:rPr>
            <w:noProof/>
            <w:webHidden/>
          </w:rPr>
          <w:fldChar w:fldCharType="separate"/>
        </w:r>
        <w:r>
          <w:rPr>
            <w:noProof/>
            <w:webHidden/>
          </w:rPr>
          <w:t>2-6</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5" w:history="1">
        <w:r w:rsidRPr="00237B85">
          <w:rPr>
            <w:rStyle w:val="Hyperlink"/>
            <w:noProof/>
          </w:rPr>
          <w:t>2.1.2.8</w:t>
        </w:r>
        <w:r>
          <w:rPr>
            <w:rFonts w:asciiTheme="minorHAnsi" w:eastAsiaTheme="minorEastAsia" w:hAnsiTheme="minorHAnsi" w:cstheme="minorBidi"/>
            <w:noProof/>
            <w:szCs w:val="22"/>
          </w:rPr>
          <w:tab/>
        </w:r>
        <w:r w:rsidRPr="00237B85">
          <w:rPr>
            <w:rStyle w:val="Hyperlink"/>
            <w:noProof/>
          </w:rPr>
          <w:t>Vehicle Miles Travelled</w:t>
        </w:r>
        <w:r>
          <w:rPr>
            <w:noProof/>
            <w:webHidden/>
          </w:rPr>
          <w:tab/>
        </w:r>
        <w:r>
          <w:rPr>
            <w:noProof/>
            <w:webHidden/>
          </w:rPr>
          <w:fldChar w:fldCharType="begin"/>
        </w:r>
        <w:r>
          <w:rPr>
            <w:noProof/>
            <w:webHidden/>
          </w:rPr>
          <w:instrText xml:space="preserve"> PAGEREF _Toc448780315 \h </w:instrText>
        </w:r>
        <w:r>
          <w:rPr>
            <w:noProof/>
            <w:webHidden/>
          </w:rPr>
        </w:r>
        <w:r>
          <w:rPr>
            <w:noProof/>
            <w:webHidden/>
          </w:rPr>
          <w:fldChar w:fldCharType="separate"/>
        </w:r>
        <w:r>
          <w:rPr>
            <w:noProof/>
            <w:webHidden/>
          </w:rPr>
          <w:t>2-7</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6" w:history="1">
        <w:r w:rsidRPr="00237B85">
          <w:rPr>
            <w:rStyle w:val="Hyperlink"/>
            <w:noProof/>
          </w:rPr>
          <w:t>2.1.2.9</w:t>
        </w:r>
        <w:r>
          <w:rPr>
            <w:rFonts w:asciiTheme="minorHAnsi" w:eastAsiaTheme="minorEastAsia" w:hAnsiTheme="minorHAnsi" w:cstheme="minorBidi"/>
            <w:noProof/>
            <w:szCs w:val="22"/>
          </w:rPr>
          <w:tab/>
        </w:r>
        <w:r w:rsidRPr="00237B85">
          <w:rPr>
            <w:rStyle w:val="Hyperlink"/>
            <w:noProof/>
          </w:rPr>
          <w:t>Vehicle Hours Travelled</w:t>
        </w:r>
        <w:r>
          <w:rPr>
            <w:noProof/>
            <w:webHidden/>
          </w:rPr>
          <w:tab/>
        </w:r>
        <w:r>
          <w:rPr>
            <w:noProof/>
            <w:webHidden/>
          </w:rPr>
          <w:fldChar w:fldCharType="begin"/>
        </w:r>
        <w:r>
          <w:rPr>
            <w:noProof/>
            <w:webHidden/>
          </w:rPr>
          <w:instrText xml:space="preserve"> PAGEREF _Toc448780316 \h </w:instrText>
        </w:r>
        <w:r>
          <w:rPr>
            <w:noProof/>
            <w:webHidden/>
          </w:rPr>
        </w:r>
        <w:r>
          <w:rPr>
            <w:noProof/>
            <w:webHidden/>
          </w:rPr>
          <w:fldChar w:fldCharType="separate"/>
        </w:r>
        <w:r>
          <w:rPr>
            <w:noProof/>
            <w:webHidden/>
          </w:rPr>
          <w:t>2-7</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7" w:history="1">
        <w:r w:rsidRPr="00237B85">
          <w:rPr>
            <w:rStyle w:val="Hyperlink"/>
            <w:noProof/>
          </w:rPr>
          <w:t>2.1.2.10</w:t>
        </w:r>
        <w:r>
          <w:rPr>
            <w:rFonts w:asciiTheme="minorHAnsi" w:eastAsiaTheme="minorEastAsia" w:hAnsiTheme="minorHAnsi" w:cstheme="minorBidi"/>
            <w:noProof/>
            <w:szCs w:val="22"/>
          </w:rPr>
          <w:tab/>
        </w:r>
        <w:r w:rsidRPr="00237B85">
          <w:rPr>
            <w:rStyle w:val="Hyperlink"/>
            <w:noProof/>
          </w:rPr>
          <w:t>Average Vehicle Occupancy</w:t>
        </w:r>
        <w:r>
          <w:rPr>
            <w:noProof/>
            <w:webHidden/>
          </w:rPr>
          <w:tab/>
        </w:r>
        <w:r>
          <w:rPr>
            <w:noProof/>
            <w:webHidden/>
          </w:rPr>
          <w:fldChar w:fldCharType="begin"/>
        </w:r>
        <w:r>
          <w:rPr>
            <w:noProof/>
            <w:webHidden/>
          </w:rPr>
          <w:instrText xml:space="preserve"> PAGEREF _Toc448780317 \h </w:instrText>
        </w:r>
        <w:r>
          <w:rPr>
            <w:noProof/>
            <w:webHidden/>
          </w:rPr>
        </w:r>
        <w:r>
          <w:rPr>
            <w:noProof/>
            <w:webHidden/>
          </w:rPr>
          <w:fldChar w:fldCharType="separate"/>
        </w:r>
        <w:r>
          <w:rPr>
            <w:noProof/>
            <w:webHidden/>
          </w:rPr>
          <w:t>2-7</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18" w:history="1">
        <w:r w:rsidRPr="00237B85">
          <w:rPr>
            <w:rStyle w:val="Hyperlink"/>
            <w:noProof/>
          </w:rPr>
          <w:t>2.1.3</w:t>
        </w:r>
        <w:r>
          <w:rPr>
            <w:rFonts w:asciiTheme="minorHAnsi" w:eastAsiaTheme="minorEastAsia" w:hAnsiTheme="minorHAnsi" w:cstheme="minorBidi"/>
            <w:noProof/>
            <w:szCs w:val="22"/>
          </w:rPr>
          <w:tab/>
        </w:r>
        <w:r w:rsidRPr="00237B85">
          <w:rPr>
            <w:rStyle w:val="Hyperlink"/>
            <w:noProof/>
          </w:rPr>
          <w:t>Assumptions – Vehicle Operation</w:t>
        </w:r>
        <w:r>
          <w:rPr>
            <w:noProof/>
            <w:webHidden/>
          </w:rPr>
          <w:tab/>
        </w:r>
        <w:r>
          <w:rPr>
            <w:noProof/>
            <w:webHidden/>
          </w:rPr>
          <w:fldChar w:fldCharType="begin"/>
        </w:r>
        <w:r>
          <w:rPr>
            <w:noProof/>
            <w:webHidden/>
          </w:rPr>
          <w:instrText xml:space="preserve"> PAGEREF _Toc448780318 \h </w:instrText>
        </w:r>
        <w:r>
          <w:rPr>
            <w:noProof/>
            <w:webHidden/>
          </w:rPr>
        </w:r>
        <w:r>
          <w:rPr>
            <w:noProof/>
            <w:webHidden/>
          </w:rPr>
          <w:fldChar w:fldCharType="separate"/>
        </w:r>
        <w:r>
          <w:rPr>
            <w:noProof/>
            <w:webHidden/>
          </w:rPr>
          <w:t>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19" w:history="1">
        <w:r w:rsidRPr="00237B85">
          <w:rPr>
            <w:rStyle w:val="Hyperlink"/>
            <w:noProof/>
          </w:rPr>
          <w:t>2.1.3.1</w:t>
        </w:r>
        <w:r>
          <w:rPr>
            <w:rFonts w:asciiTheme="minorHAnsi" w:eastAsiaTheme="minorEastAsia" w:hAnsiTheme="minorHAnsi" w:cstheme="minorBidi"/>
            <w:noProof/>
            <w:szCs w:val="22"/>
          </w:rPr>
          <w:tab/>
        </w:r>
        <w:r w:rsidRPr="00237B85">
          <w:rPr>
            <w:rStyle w:val="Hyperlink"/>
            <w:noProof/>
          </w:rPr>
          <w:t>Vehicle Operating Costs</w:t>
        </w:r>
        <w:r>
          <w:rPr>
            <w:noProof/>
            <w:webHidden/>
          </w:rPr>
          <w:tab/>
        </w:r>
        <w:r>
          <w:rPr>
            <w:noProof/>
            <w:webHidden/>
          </w:rPr>
          <w:fldChar w:fldCharType="begin"/>
        </w:r>
        <w:r>
          <w:rPr>
            <w:noProof/>
            <w:webHidden/>
          </w:rPr>
          <w:instrText xml:space="preserve"> PAGEREF _Toc448780319 \h </w:instrText>
        </w:r>
        <w:r>
          <w:rPr>
            <w:noProof/>
            <w:webHidden/>
          </w:rPr>
        </w:r>
        <w:r>
          <w:rPr>
            <w:noProof/>
            <w:webHidden/>
          </w:rPr>
          <w:fldChar w:fldCharType="separate"/>
        </w:r>
        <w:r>
          <w:rPr>
            <w:noProof/>
            <w:webHidden/>
          </w:rPr>
          <w:t>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0" w:history="1">
        <w:r w:rsidRPr="00237B85">
          <w:rPr>
            <w:rStyle w:val="Hyperlink"/>
            <w:noProof/>
          </w:rPr>
          <w:t>2.1.3.2</w:t>
        </w:r>
        <w:r>
          <w:rPr>
            <w:rFonts w:asciiTheme="minorHAnsi" w:eastAsiaTheme="minorEastAsia" w:hAnsiTheme="minorHAnsi" w:cstheme="minorBidi"/>
            <w:noProof/>
            <w:szCs w:val="22"/>
          </w:rPr>
          <w:tab/>
        </w:r>
        <w:r w:rsidRPr="00237B85">
          <w:rPr>
            <w:rStyle w:val="Hyperlink"/>
            <w:noProof/>
          </w:rPr>
          <w:t>Vehicle Operating Costs – Bustang</w:t>
        </w:r>
        <w:r>
          <w:rPr>
            <w:noProof/>
            <w:webHidden/>
          </w:rPr>
          <w:tab/>
        </w:r>
        <w:r>
          <w:rPr>
            <w:noProof/>
            <w:webHidden/>
          </w:rPr>
          <w:fldChar w:fldCharType="begin"/>
        </w:r>
        <w:r>
          <w:rPr>
            <w:noProof/>
            <w:webHidden/>
          </w:rPr>
          <w:instrText xml:space="preserve"> PAGEREF _Toc448780320 \h </w:instrText>
        </w:r>
        <w:r>
          <w:rPr>
            <w:noProof/>
            <w:webHidden/>
          </w:rPr>
        </w:r>
        <w:r>
          <w:rPr>
            <w:noProof/>
            <w:webHidden/>
          </w:rPr>
          <w:fldChar w:fldCharType="separate"/>
        </w:r>
        <w:r>
          <w:rPr>
            <w:noProof/>
            <w:webHidden/>
          </w:rPr>
          <w:t>2-9</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21" w:history="1">
        <w:r w:rsidRPr="00237B85">
          <w:rPr>
            <w:rStyle w:val="Hyperlink"/>
            <w:noProof/>
          </w:rPr>
          <w:t>2.1.4</w:t>
        </w:r>
        <w:r>
          <w:rPr>
            <w:rFonts w:asciiTheme="minorHAnsi" w:eastAsiaTheme="minorEastAsia" w:hAnsiTheme="minorHAnsi" w:cstheme="minorBidi"/>
            <w:noProof/>
            <w:szCs w:val="22"/>
          </w:rPr>
          <w:tab/>
        </w:r>
        <w:r w:rsidRPr="00237B85">
          <w:rPr>
            <w:rStyle w:val="Hyperlink"/>
            <w:noProof/>
          </w:rPr>
          <w:t>Assumptions – Infrastructure Operations and Maintenance</w:t>
        </w:r>
        <w:r>
          <w:rPr>
            <w:noProof/>
            <w:webHidden/>
          </w:rPr>
          <w:tab/>
        </w:r>
        <w:r>
          <w:rPr>
            <w:noProof/>
            <w:webHidden/>
          </w:rPr>
          <w:fldChar w:fldCharType="begin"/>
        </w:r>
        <w:r>
          <w:rPr>
            <w:noProof/>
            <w:webHidden/>
          </w:rPr>
          <w:instrText xml:space="preserve"> PAGEREF _Toc448780321 \h </w:instrText>
        </w:r>
        <w:r>
          <w:rPr>
            <w:noProof/>
            <w:webHidden/>
          </w:rPr>
        </w:r>
        <w:r>
          <w:rPr>
            <w:noProof/>
            <w:webHidden/>
          </w:rPr>
          <w:fldChar w:fldCharType="separate"/>
        </w:r>
        <w:r>
          <w:rPr>
            <w:noProof/>
            <w:webHidden/>
          </w:rPr>
          <w:t>2-9</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2" w:history="1">
        <w:r w:rsidRPr="00237B85">
          <w:rPr>
            <w:rStyle w:val="Hyperlink"/>
            <w:noProof/>
          </w:rPr>
          <w:t>2.1.4.1</w:t>
        </w:r>
        <w:r>
          <w:rPr>
            <w:rFonts w:asciiTheme="minorHAnsi" w:eastAsiaTheme="minorEastAsia" w:hAnsiTheme="minorHAnsi" w:cstheme="minorBidi"/>
            <w:noProof/>
            <w:szCs w:val="22"/>
          </w:rPr>
          <w:tab/>
        </w:r>
        <w:r w:rsidRPr="00237B85">
          <w:rPr>
            <w:rStyle w:val="Hyperlink"/>
            <w:noProof/>
          </w:rPr>
          <w:t>Operations and Maintenance Costs – General Purpose and Managed Lanes</w:t>
        </w:r>
        <w:r>
          <w:rPr>
            <w:noProof/>
            <w:webHidden/>
          </w:rPr>
          <w:tab/>
        </w:r>
        <w:r>
          <w:rPr>
            <w:noProof/>
            <w:webHidden/>
          </w:rPr>
          <w:fldChar w:fldCharType="begin"/>
        </w:r>
        <w:r>
          <w:rPr>
            <w:noProof/>
            <w:webHidden/>
          </w:rPr>
          <w:instrText xml:space="preserve"> PAGEREF _Toc448780322 \h </w:instrText>
        </w:r>
        <w:r>
          <w:rPr>
            <w:noProof/>
            <w:webHidden/>
          </w:rPr>
        </w:r>
        <w:r>
          <w:rPr>
            <w:noProof/>
            <w:webHidden/>
          </w:rPr>
          <w:fldChar w:fldCharType="separate"/>
        </w:r>
        <w:r>
          <w:rPr>
            <w:noProof/>
            <w:webHidden/>
          </w:rPr>
          <w:t>2-9</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3" w:history="1">
        <w:r w:rsidRPr="00237B85">
          <w:rPr>
            <w:rStyle w:val="Hyperlink"/>
            <w:noProof/>
          </w:rPr>
          <w:t>2.1.4.2</w:t>
        </w:r>
        <w:r>
          <w:rPr>
            <w:rFonts w:asciiTheme="minorHAnsi" w:eastAsiaTheme="minorEastAsia" w:hAnsiTheme="minorHAnsi" w:cstheme="minorBidi"/>
            <w:noProof/>
            <w:szCs w:val="22"/>
          </w:rPr>
          <w:tab/>
        </w:r>
        <w:r w:rsidRPr="00237B85">
          <w:rPr>
            <w:rStyle w:val="Hyperlink"/>
            <w:noProof/>
          </w:rPr>
          <w:t>Operations and Maintenance Costs – Bridges</w:t>
        </w:r>
        <w:r>
          <w:rPr>
            <w:noProof/>
            <w:webHidden/>
          </w:rPr>
          <w:tab/>
        </w:r>
        <w:r>
          <w:rPr>
            <w:noProof/>
            <w:webHidden/>
          </w:rPr>
          <w:fldChar w:fldCharType="begin"/>
        </w:r>
        <w:r>
          <w:rPr>
            <w:noProof/>
            <w:webHidden/>
          </w:rPr>
          <w:instrText xml:space="preserve"> PAGEREF _Toc448780323 \h </w:instrText>
        </w:r>
        <w:r>
          <w:rPr>
            <w:noProof/>
            <w:webHidden/>
          </w:rPr>
        </w:r>
        <w:r>
          <w:rPr>
            <w:noProof/>
            <w:webHidden/>
          </w:rPr>
          <w:fldChar w:fldCharType="separate"/>
        </w:r>
        <w:r>
          <w:rPr>
            <w:noProof/>
            <w:webHidden/>
          </w:rPr>
          <w:t>2-9</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4" w:history="1">
        <w:r w:rsidRPr="00237B85">
          <w:rPr>
            <w:rStyle w:val="Hyperlink"/>
            <w:noProof/>
          </w:rPr>
          <w:t>2.1.4.3</w:t>
        </w:r>
        <w:r>
          <w:rPr>
            <w:rFonts w:asciiTheme="minorHAnsi" w:eastAsiaTheme="minorEastAsia" w:hAnsiTheme="minorHAnsi" w:cstheme="minorBidi"/>
            <w:noProof/>
            <w:szCs w:val="22"/>
          </w:rPr>
          <w:tab/>
        </w:r>
        <w:r w:rsidRPr="00237B85">
          <w:rPr>
            <w:rStyle w:val="Hyperlink"/>
            <w:noProof/>
          </w:rPr>
          <w:t>Operations and Maintenance Costs – Bus Related Infrastructure</w:t>
        </w:r>
        <w:r>
          <w:rPr>
            <w:noProof/>
            <w:webHidden/>
          </w:rPr>
          <w:tab/>
        </w:r>
        <w:r>
          <w:rPr>
            <w:noProof/>
            <w:webHidden/>
          </w:rPr>
          <w:fldChar w:fldCharType="begin"/>
        </w:r>
        <w:r>
          <w:rPr>
            <w:noProof/>
            <w:webHidden/>
          </w:rPr>
          <w:instrText xml:space="preserve"> PAGEREF _Toc448780324 \h </w:instrText>
        </w:r>
        <w:r>
          <w:rPr>
            <w:noProof/>
            <w:webHidden/>
          </w:rPr>
        </w:r>
        <w:r>
          <w:rPr>
            <w:noProof/>
            <w:webHidden/>
          </w:rPr>
          <w:fldChar w:fldCharType="separate"/>
        </w:r>
        <w:r>
          <w:rPr>
            <w:noProof/>
            <w:webHidden/>
          </w:rPr>
          <w:t>2-10</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25" w:history="1">
        <w:r w:rsidRPr="00237B85">
          <w:rPr>
            <w:rStyle w:val="Hyperlink"/>
            <w:noProof/>
          </w:rPr>
          <w:t>2.1.5</w:t>
        </w:r>
        <w:r>
          <w:rPr>
            <w:rFonts w:asciiTheme="minorHAnsi" w:eastAsiaTheme="minorEastAsia" w:hAnsiTheme="minorHAnsi" w:cstheme="minorBidi"/>
            <w:noProof/>
            <w:szCs w:val="22"/>
          </w:rPr>
          <w:tab/>
        </w:r>
        <w:r w:rsidRPr="00237B85">
          <w:rPr>
            <w:rStyle w:val="Hyperlink"/>
            <w:noProof/>
          </w:rPr>
          <w:t>Assumptions - Safety</w:t>
        </w:r>
        <w:r>
          <w:rPr>
            <w:noProof/>
            <w:webHidden/>
          </w:rPr>
          <w:tab/>
        </w:r>
        <w:r>
          <w:rPr>
            <w:noProof/>
            <w:webHidden/>
          </w:rPr>
          <w:fldChar w:fldCharType="begin"/>
        </w:r>
        <w:r>
          <w:rPr>
            <w:noProof/>
            <w:webHidden/>
          </w:rPr>
          <w:instrText xml:space="preserve"> PAGEREF _Toc448780325 \h </w:instrText>
        </w:r>
        <w:r>
          <w:rPr>
            <w:noProof/>
            <w:webHidden/>
          </w:rPr>
        </w:r>
        <w:r>
          <w:rPr>
            <w:noProof/>
            <w:webHidden/>
          </w:rPr>
          <w:fldChar w:fldCharType="separate"/>
        </w:r>
        <w:r>
          <w:rPr>
            <w:noProof/>
            <w:webHidden/>
          </w:rPr>
          <w:t>2-10</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26" w:history="1">
        <w:r w:rsidRPr="00237B85">
          <w:rPr>
            <w:rStyle w:val="Hyperlink"/>
            <w:noProof/>
          </w:rPr>
          <w:t>2.1.6</w:t>
        </w:r>
        <w:r>
          <w:rPr>
            <w:rFonts w:asciiTheme="minorHAnsi" w:eastAsiaTheme="minorEastAsia" w:hAnsiTheme="minorHAnsi" w:cstheme="minorBidi"/>
            <w:noProof/>
            <w:szCs w:val="22"/>
          </w:rPr>
          <w:tab/>
        </w:r>
        <w:r w:rsidRPr="00237B85">
          <w:rPr>
            <w:rStyle w:val="Hyperlink"/>
            <w:noProof/>
          </w:rPr>
          <w:t>Assumptions – Emissions</w:t>
        </w:r>
        <w:r>
          <w:rPr>
            <w:noProof/>
            <w:webHidden/>
          </w:rPr>
          <w:tab/>
        </w:r>
        <w:r>
          <w:rPr>
            <w:noProof/>
            <w:webHidden/>
          </w:rPr>
          <w:fldChar w:fldCharType="begin"/>
        </w:r>
        <w:r>
          <w:rPr>
            <w:noProof/>
            <w:webHidden/>
          </w:rPr>
          <w:instrText xml:space="preserve"> PAGEREF _Toc448780326 \h </w:instrText>
        </w:r>
        <w:r>
          <w:rPr>
            <w:noProof/>
            <w:webHidden/>
          </w:rPr>
        </w:r>
        <w:r>
          <w:rPr>
            <w:noProof/>
            <w:webHidden/>
          </w:rPr>
          <w:fldChar w:fldCharType="separate"/>
        </w:r>
        <w:r>
          <w:rPr>
            <w:noProof/>
            <w:webHidden/>
          </w:rPr>
          <w:t>2-11</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7" w:history="1">
        <w:r w:rsidRPr="00237B85">
          <w:rPr>
            <w:rStyle w:val="Hyperlink"/>
            <w:noProof/>
          </w:rPr>
          <w:t>2.1.6.1</w:t>
        </w:r>
        <w:r>
          <w:rPr>
            <w:rFonts w:asciiTheme="minorHAnsi" w:eastAsiaTheme="minorEastAsia" w:hAnsiTheme="minorHAnsi" w:cstheme="minorBidi"/>
            <w:noProof/>
            <w:szCs w:val="22"/>
          </w:rPr>
          <w:tab/>
        </w:r>
        <w:r w:rsidRPr="00237B85">
          <w:rPr>
            <w:rStyle w:val="Hyperlink"/>
            <w:noProof/>
          </w:rPr>
          <w:t>Emissions Quantification</w:t>
        </w:r>
        <w:r>
          <w:rPr>
            <w:noProof/>
            <w:webHidden/>
          </w:rPr>
          <w:tab/>
        </w:r>
        <w:r>
          <w:rPr>
            <w:noProof/>
            <w:webHidden/>
          </w:rPr>
          <w:fldChar w:fldCharType="begin"/>
        </w:r>
        <w:r>
          <w:rPr>
            <w:noProof/>
            <w:webHidden/>
          </w:rPr>
          <w:instrText xml:space="preserve"> PAGEREF _Toc448780327 \h </w:instrText>
        </w:r>
        <w:r>
          <w:rPr>
            <w:noProof/>
            <w:webHidden/>
          </w:rPr>
        </w:r>
        <w:r>
          <w:rPr>
            <w:noProof/>
            <w:webHidden/>
          </w:rPr>
          <w:fldChar w:fldCharType="separate"/>
        </w:r>
        <w:r>
          <w:rPr>
            <w:noProof/>
            <w:webHidden/>
          </w:rPr>
          <w:t>2-12</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28" w:history="1">
        <w:r w:rsidRPr="00237B85">
          <w:rPr>
            <w:rStyle w:val="Hyperlink"/>
            <w:noProof/>
          </w:rPr>
          <w:t>2.1.6.2</w:t>
        </w:r>
        <w:r>
          <w:rPr>
            <w:rFonts w:asciiTheme="minorHAnsi" w:eastAsiaTheme="minorEastAsia" w:hAnsiTheme="minorHAnsi" w:cstheme="minorBidi"/>
            <w:noProof/>
            <w:szCs w:val="22"/>
          </w:rPr>
          <w:tab/>
        </w:r>
        <w:r w:rsidRPr="00237B85">
          <w:rPr>
            <w:rStyle w:val="Hyperlink"/>
            <w:noProof/>
          </w:rPr>
          <w:t>Emissions Valuation Approach</w:t>
        </w:r>
        <w:r>
          <w:rPr>
            <w:noProof/>
            <w:webHidden/>
          </w:rPr>
          <w:tab/>
        </w:r>
        <w:r>
          <w:rPr>
            <w:noProof/>
            <w:webHidden/>
          </w:rPr>
          <w:fldChar w:fldCharType="begin"/>
        </w:r>
        <w:r>
          <w:rPr>
            <w:noProof/>
            <w:webHidden/>
          </w:rPr>
          <w:instrText xml:space="preserve"> PAGEREF _Toc448780328 \h </w:instrText>
        </w:r>
        <w:r>
          <w:rPr>
            <w:noProof/>
            <w:webHidden/>
          </w:rPr>
        </w:r>
        <w:r>
          <w:rPr>
            <w:noProof/>
            <w:webHidden/>
          </w:rPr>
          <w:fldChar w:fldCharType="separate"/>
        </w:r>
        <w:r>
          <w:rPr>
            <w:noProof/>
            <w:webHidden/>
          </w:rPr>
          <w:t>2-13</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29" w:history="1">
        <w:r w:rsidRPr="00237B85">
          <w:rPr>
            <w:rStyle w:val="Hyperlink"/>
            <w:noProof/>
          </w:rPr>
          <w:t>2.1.7</w:t>
        </w:r>
        <w:r>
          <w:rPr>
            <w:rFonts w:asciiTheme="minorHAnsi" w:eastAsiaTheme="minorEastAsia" w:hAnsiTheme="minorHAnsi" w:cstheme="minorBidi"/>
            <w:noProof/>
            <w:szCs w:val="22"/>
          </w:rPr>
          <w:tab/>
        </w:r>
        <w:r w:rsidRPr="00237B85">
          <w:rPr>
            <w:rStyle w:val="Hyperlink"/>
            <w:noProof/>
          </w:rPr>
          <w:t>Assumptions – Freight</w:t>
        </w:r>
        <w:r>
          <w:rPr>
            <w:noProof/>
            <w:webHidden/>
          </w:rPr>
          <w:tab/>
        </w:r>
        <w:r>
          <w:rPr>
            <w:noProof/>
            <w:webHidden/>
          </w:rPr>
          <w:fldChar w:fldCharType="begin"/>
        </w:r>
        <w:r>
          <w:rPr>
            <w:noProof/>
            <w:webHidden/>
          </w:rPr>
          <w:instrText xml:space="preserve"> PAGEREF _Toc448780329 \h </w:instrText>
        </w:r>
        <w:r>
          <w:rPr>
            <w:noProof/>
            <w:webHidden/>
          </w:rPr>
        </w:r>
        <w:r>
          <w:rPr>
            <w:noProof/>
            <w:webHidden/>
          </w:rPr>
          <w:fldChar w:fldCharType="separate"/>
        </w:r>
        <w:r>
          <w:rPr>
            <w:noProof/>
            <w:webHidden/>
          </w:rPr>
          <w:t>2-14</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0" w:history="1">
        <w:r w:rsidRPr="00237B85">
          <w:rPr>
            <w:rStyle w:val="Hyperlink"/>
            <w:noProof/>
          </w:rPr>
          <w:t>2.1.7.1</w:t>
        </w:r>
        <w:r>
          <w:rPr>
            <w:rFonts w:asciiTheme="minorHAnsi" w:eastAsiaTheme="minorEastAsia" w:hAnsiTheme="minorHAnsi" w:cstheme="minorBidi"/>
            <w:noProof/>
            <w:szCs w:val="22"/>
          </w:rPr>
          <w:tab/>
        </w:r>
        <w:r w:rsidRPr="00237B85">
          <w:rPr>
            <w:rStyle w:val="Hyperlink"/>
            <w:noProof/>
          </w:rPr>
          <w:t>Freight Value</w:t>
        </w:r>
        <w:r>
          <w:rPr>
            <w:noProof/>
            <w:webHidden/>
          </w:rPr>
          <w:tab/>
        </w:r>
        <w:r>
          <w:rPr>
            <w:noProof/>
            <w:webHidden/>
          </w:rPr>
          <w:fldChar w:fldCharType="begin"/>
        </w:r>
        <w:r>
          <w:rPr>
            <w:noProof/>
            <w:webHidden/>
          </w:rPr>
          <w:instrText xml:space="preserve"> PAGEREF _Toc448780330 \h </w:instrText>
        </w:r>
        <w:r>
          <w:rPr>
            <w:noProof/>
            <w:webHidden/>
          </w:rPr>
        </w:r>
        <w:r>
          <w:rPr>
            <w:noProof/>
            <w:webHidden/>
          </w:rPr>
          <w:fldChar w:fldCharType="separate"/>
        </w:r>
        <w:r>
          <w:rPr>
            <w:noProof/>
            <w:webHidden/>
          </w:rPr>
          <w:t>2-14</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1" w:history="1">
        <w:r w:rsidRPr="00237B85">
          <w:rPr>
            <w:rStyle w:val="Hyperlink"/>
            <w:noProof/>
          </w:rPr>
          <w:t>2.1.7.2</w:t>
        </w:r>
        <w:r>
          <w:rPr>
            <w:rFonts w:asciiTheme="minorHAnsi" w:eastAsiaTheme="minorEastAsia" w:hAnsiTheme="minorHAnsi" w:cstheme="minorBidi"/>
            <w:noProof/>
            <w:szCs w:val="22"/>
          </w:rPr>
          <w:tab/>
        </w:r>
        <w:r w:rsidRPr="00237B85">
          <w:rPr>
            <w:rStyle w:val="Hyperlink"/>
            <w:noProof/>
          </w:rPr>
          <w:t>Freight Inventory</w:t>
        </w:r>
        <w:r>
          <w:rPr>
            <w:noProof/>
            <w:webHidden/>
          </w:rPr>
          <w:tab/>
        </w:r>
        <w:r>
          <w:rPr>
            <w:noProof/>
            <w:webHidden/>
          </w:rPr>
          <w:fldChar w:fldCharType="begin"/>
        </w:r>
        <w:r>
          <w:rPr>
            <w:noProof/>
            <w:webHidden/>
          </w:rPr>
          <w:instrText xml:space="preserve"> PAGEREF _Toc448780331 \h </w:instrText>
        </w:r>
        <w:r>
          <w:rPr>
            <w:noProof/>
            <w:webHidden/>
          </w:rPr>
        </w:r>
        <w:r>
          <w:rPr>
            <w:noProof/>
            <w:webHidden/>
          </w:rPr>
          <w:fldChar w:fldCharType="separate"/>
        </w:r>
        <w:r>
          <w:rPr>
            <w:noProof/>
            <w:webHidden/>
          </w:rPr>
          <w:t>2-14</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32" w:history="1">
        <w:r w:rsidRPr="00237B85">
          <w:rPr>
            <w:rStyle w:val="Hyperlink"/>
            <w:noProof/>
          </w:rPr>
          <w:t>2.1.8</w:t>
        </w:r>
        <w:r>
          <w:rPr>
            <w:rFonts w:asciiTheme="minorHAnsi" w:eastAsiaTheme="minorEastAsia" w:hAnsiTheme="minorHAnsi" w:cstheme="minorBidi"/>
            <w:noProof/>
            <w:szCs w:val="22"/>
          </w:rPr>
          <w:tab/>
        </w:r>
        <w:r w:rsidRPr="00237B85">
          <w:rPr>
            <w:rStyle w:val="Hyperlink"/>
            <w:noProof/>
          </w:rPr>
          <w:t>Assumptions – Other Categories</w:t>
        </w:r>
        <w:r>
          <w:rPr>
            <w:noProof/>
            <w:webHidden/>
          </w:rPr>
          <w:tab/>
        </w:r>
        <w:r>
          <w:rPr>
            <w:noProof/>
            <w:webHidden/>
          </w:rPr>
          <w:fldChar w:fldCharType="begin"/>
        </w:r>
        <w:r>
          <w:rPr>
            <w:noProof/>
            <w:webHidden/>
          </w:rPr>
          <w:instrText xml:space="preserve"> PAGEREF _Toc448780332 \h </w:instrText>
        </w:r>
        <w:r>
          <w:rPr>
            <w:noProof/>
            <w:webHidden/>
          </w:rPr>
        </w:r>
        <w:r>
          <w:rPr>
            <w:noProof/>
            <w:webHidden/>
          </w:rPr>
          <w:fldChar w:fldCharType="separate"/>
        </w:r>
        <w:r>
          <w:rPr>
            <w:noProof/>
            <w:webHidden/>
          </w:rPr>
          <w:t>2-15</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3" w:history="1">
        <w:r w:rsidRPr="00237B85">
          <w:rPr>
            <w:rStyle w:val="Hyperlink"/>
            <w:noProof/>
          </w:rPr>
          <w:t>2.1.8.1</w:t>
        </w:r>
        <w:r>
          <w:rPr>
            <w:rFonts w:asciiTheme="minorHAnsi" w:eastAsiaTheme="minorEastAsia" w:hAnsiTheme="minorHAnsi" w:cstheme="minorBidi"/>
            <w:noProof/>
            <w:szCs w:val="22"/>
          </w:rPr>
          <w:tab/>
        </w:r>
        <w:r w:rsidRPr="00237B85">
          <w:rPr>
            <w:rStyle w:val="Hyperlink"/>
            <w:noProof/>
          </w:rPr>
          <w:t>Tolling Revenues</w:t>
        </w:r>
        <w:r>
          <w:rPr>
            <w:noProof/>
            <w:webHidden/>
          </w:rPr>
          <w:tab/>
        </w:r>
        <w:r>
          <w:rPr>
            <w:noProof/>
            <w:webHidden/>
          </w:rPr>
          <w:fldChar w:fldCharType="begin"/>
        </w:r>
        <w:r>
          <w:rPr>
            <w:noProof/>
            <w:webHidden/>
          </w:rPr>
          <w:instrText xml:space="preserve"> PAGEREF _Toc448780333 \h </w:instrText>
        </w:r>
        <w:r>
          <w:rPr>
            <w:noProof/>
            <w:webHidden/>
          </w:rPr>
        </w:r>
        <w:r>
          <w:rPr>
            <w:noProof/>
            <w:webHidden/>
          </w:rPr>
          <w:fldChar w:fldCharType="separate"/>
        </w:r>
        <w:r>
          <w:rPr>
            <w:noProof/>
            <w:webHidden/>
          </w:rPr>
          <w:t>2-15</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4" w:history="1">
        <w:r w:rsidRPr="00237B85">
          <w:rPr>
            <w:rStyle w:val="Hyperlink"/>
            <w:noProof/>
          </w:rPr>
          <w:t>2.1.8.2</w:t>
        </w:r>
        <w:r>
          <w:rPr>
            <w:rFonts w:asciiTheme="minorHAnsi" w:eastAsiaTheme="minorEastAsia" w:hAnsiTheme="minorHAnsi" w:cstheme="minorBidi"/>
            <w:noProof/>
            <w:szCs w:val="22"/>
          </w:rPr>
          <w:tab/>
        </w:r>
        <w:r w:rsidRPr="00237B85">
          <w:rPr>
            <w:rStyle w:val="Hyperlink"/>
            <w:noProof/>
          </w:rPr>
          <w:t>Residual Value</w:t>
        </w:r>
        <w:r>
          <w:rPr>
            <w:noProof/>
            <w:webHidden/>
          </w:rPr>
          <w:tab/>
        </w:r>
        <w:r>
          <w:rPr>
            <w:noProof/>
            <w:webHidden/>
          </w:rPr>
          <w:fldChar w:fldCharType="begin"/>
        </w:r>
        <w:r>
          <w:rPr>
            <w:noProof/>
            <w:webHidden/>
          </w:rPr>
          <w:instrText xml:space="preserve"> PAGEREF _Toc448780334 \h </w:instrText>
        </w:r>
        <w:r>
          <w:rPr>
            <w:noProof/>
            <w:webHidden/>
          </w:rPr>
        </w:r>
        <w:r>
          <w:rPr>
            <w:noProof/>
            <w:webHidden/>
          </w:rPr>
          <w:fldChar w:fldCharType="separate"/>
        </w:r>
        <w:r>
          <w:rPr>
            <w:noProof/>
            <w:webHidden/>
          </w:rPr>
          <w:t>2-15</w:t>
        </w:r>
        <w:r>
          <w:rPr>
            <w:noProof/>
            <w:webHidden/>
          </w:rPr>
          <w:fldChar w:fldCharType="end"/>
        </w:r>
      </w:hyperlink>
    </w:p>
    <w:p w:rsidR="00FA4CC7" w:rsidRDefault="00FA4CC7">
      <w:pPr>
        <w:pStyle w:val="TOC1"/>
        <w:rPr>
          <w:rFonts w:asciiTheme="minorHAnsi" w:eastAsiaTheme="minorEastAsia" w:hAnsiTheme="minorHAnsi" w:cstheme="minorBidi"/>
          <w:b w:val="0"/>
          <w:bCs w:val="0"/>
          <w:noProof/>
          <w:szCs w:val="22"/>
        </w:rPr>
      </w:pPr>
      <w:hyperlink w:anchor="_Toc448780335" w:history="1">
        <w:r w:rsidRPr="00237B85">
          <w:rPr>
            <w:rStyle w:val="Hyperlink"/>
            <w:rFonts w:ascii="Times New Roman" w:hAnsi="Times New Roman"/>
            <w:noProof/>
          </w:rPr>
          <w:t>Section 3</w:t>
        </w:r>
        <w:r>
          <w:rPr>
            <w:rFonts w:asciiTheme="minorHAnsi" w:eastAsiaTheme="minorEastAsia" w:hAnsiTheme="minorHAnsi" w:cstheme="minorBidi"/>
            <w:b w:val="0"/>
            <w:bCs w:val="0"/>
            <w:noProof/>
            <w:szCs w:val="22"/>
          </w:rPr>
          <w:tab/>
        </w:r>
        <w:r w:rsidRPr="00237B85">
          <w:rPr>
            <w:rStyle w:val="Hyperlink"/>
            <w:rFonts w:ascii="Times New Roman" w:hAnsi="Times New Roman"/>
            <w:noProof/>
          </w:rPr>
          <w:t>Outcomes</w:t>
        </w:r>
        <w:r>
          <w:rPr>
            <w:noProof/>
            <w:webHidden/>
          </w:rPr>
          <w:tab/>
        </w:r>
        <w:r>
          <w:rPr>
            <w:noProof/>
            <w:webHidden/>
          </w:rPr>
          <w:fldChar w:fldCharType="begin"/>
        </w:r>
        <w:r>
          <w:rPr>
            <w:noProof/>
            <w:webHidden/>
          </w:rPr>
          <w:instrText xml:space="preserve"> PAGEREF _Toc448780335 \h </w:instrText>
        </w:r>
        <w:r>
          <w:rPr>
            <w:noProof/>
            <w:webHidden/>
          </w:rPr>
        </w:r>
        <w:r>
          <w:rPr>
            <w:noProof/>
            <w:webHidden/>
          </w:rPr>
          <w:fldChar w:fldCharType="separate"/>
        </w:r>
        <w:r>
          <w:rPr>
            <w:noProof/>
            <w:webHidden/>
          </w:rPr>
          <w:t>3-16</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36" w:history="1">
        <w:r w:rsidRPr="00237B85">
          <w:rPr>
            <w:rStyle w:val="Hyperlink"/>
            <w:noProof/>
          </w:rPr>
          <w:t>3.1</w:t>
        </w:r>
        <w:r>
          <w:rPr>
            <w:rFonts w:asciiTheme="minorHAnsi" w:eastAsiaTheme="minorEastAsia" w:hAnsiTheme="minorHAnsi" w:cstheme="minorBidi"/>
            <w:noProof/>
            <w:szCs w:val="22"/>
          </w:rPr>
          <w:tab/>
        </w:r>
        <w:r w:rsidRPr="00237B85">
          <w:rPr>
            <w:rStyle w:val="Hyperlink"/>
            <w:noProof/>
          </w:rPr>
          <w:t>Economic Outcomes</w:t>
        </w:r>
        <w:r>
          <w:rPr>
            <w:noProof/>
            <w:webHidden/>
          </w:rPr>
          <w:tab/>
        </w:r>
        <w:r>
          <w:rPr>
            <w:noProof/>
            <w:webHidden/>
          </w:rPr>
          <w:fldChar w:fldCharType="begin"/>
        </w:r>
        <w:r>
          <w:rPr>
            <w:noProof/>
            <w:webHidden/>
          </w:rPr>
          <w:instrText xml:space="preserve"> PAGEREF _Toc448780336 \h </w:instrText>
        </w:r>
        <w:r>
          <w:rPr>
            <w:noProof/>
            <w:webHidden/>
          </w:rPr>
        </w:r>
        <w:r>
          <w:rPr>
            <w:noProof/>
            <w:webHidden/>
          </w:rPr>
          <w:fldChar w:fldCharType="separate"/>
        </w:r>
        <w:r>
          <w:rPr>
            <w:noProof/>
            <w:webHidden/>
          </w:rPr>
          <w:t>3-16</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37" w:history="1">
        <w:r w:rsidRPr="00237B85">
          <w:rPr>
            <w:rStyle w:val="Hyperlink"/>
            <w:noProof/>
          </w:rPr>
          <w:t>3.1.1</w:t>
        </w:r>
        <w:r>
          <w:rPr>
            <w:rFonts w:asciiTheme="minorHAnsi" w:eastAsiaTheme="minorEastAsia" w:hAnsiTheme="minorHAnsi" w:cstheme="minorBidi"/>
            <w:noProof/>
            <w:szCs w:val="22"/>
          </w:rPr>
          <w:tab/>
        </w:r>
        <w:r w:rsidRPr="00237B85">
          <w:rPr>
            <w:rStyle w:val="Hyperlink"/>
            <w:noProof/>
          </w:rPr>
          <w:t>Travel Time Savings</w:t>
        </w:r>
        <w:r>
          <w:rPr>
            <w:noProof/>
            <w:webHidden/>
          </w:rPr>
          <w:tab/>
        </w:r>
        <w:r>
          <w:rPr>
            <w:noProof/>
            <w:webHidden/>
          </w:rPr>
          <w:fldChar w:fldCharType="begin"/>
        </w:r>
        <w:r>
          <w:rPr>
            <w:noProof/>
            <w:webHidden/>
          </w:rPr>
          <w:instrText xml:space="preserve"> PAGEREF _Toc448780337 \h </w:instrText>
        </w:r>
        <w:r>
          <w:rPr>
            <w:noProof/>
            <w:webHidden/>
          </w:rPr>
        </w:r>
        <w:r>
          <w:rPr>
            <w:noProof/>
            <w:webHidden/>
          </w:rPr>
          <w:fldChar w:fldCharType="separate"/>
        </w:r>
        <w:r>
          <w:rPr>
            <w:noProof/>
            <w:webHidden/>
          </w:rPr>
          <w:t>3-16</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8" w:history="1">
        <w:r w:rsidRPr="00237B85">
          <w:rPr>
            <w:rStyle w:val="Hyperlink"/>
            <w:noProof/>
          </w:rPr>
          <w:t>3.1.1.1</w:t>
        </w:r>
        <w:r>
          <w:rPr>
            <w:rFonts w:asciiTheme="minorHAnsi" w:eastAsiaTheme="minorEastAsia" w:hAnsiTheme="minorHAnsi" w:cstheme="minorBidi"/>
            <w:noProof/>
            <w:szCs w:val="22"/>
          </w:rPr>
          <w:tab/>
        </w:r>
        <w:r w:rsidRPr="00237B85">
          <w:rPr>
            <w:rStyle w:val="Hyperlink"/>
            <w:noProof/>
          </w:rPr>
          <w:t>Travel Time Savings – Personal Vehicles and Passengers</w:t>
        </w:r>
        <w:r>
          <w:rPr>
            <w:noProof/>
            <w:webHidden/>
          </w:rPr>
          <w:tab/>
        </w:r>
        <w:r>
          <w:rPr>
            <w:noProof/>
            <w:webHidden/>
          </w:rPr>
          <w:fldChar w:fldCharType="begin"/>
        </w:r>
        <w:r>
          <w:rPr>
            <w:noProof/>
            <w:webHidden/>
          </w:rPr>
          <w:instrText xml:space="preserve"> PAGEREF _Toc448780338 \h </w:instrText>
        </w:r>
        <w:r>
          <w:rPr>
            <w:noProof/>
            <w:webHidden/>
          </w:rPr>
        </w:r>
        <w:r>
          <w:rPr>
            <w:noProof/>
            <w:webHidden/>
          </w:rPr>
          <w:fldChar w:fldCharType="separate"/>
        </w:r>
        <w:r>
          <w:rPr>
            <w:noProof/>
            <w:webHidden/>
          </w:rPr>
          <w:t>3-16</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39" w:history="1">
        <w:r w:rsidRPr="00237B85">
          <w:rPr>
            <w:rStyle w:val="Hyperlink"/>
            <w:noProof/>
          </w:rPr>
          <w:t>3.1.1.2</w:t>
        </w:r>
        <w:r>
          <w:rPr>
            <w:rFonts w:asciiTheme="minorHAnsi" w:eastAsiaTheme="minorEastAsia" w:hAnsiTheme="minorHAnsi" w:cstheme="minorBidi"/>
            <w:noProof/>
            <w:szCs w:val="22"/>
          </w:rPr>
          <w:tab/>
        </w:r>
        <w:r w:rsidRPr="00237B85">
          <w:rPr>
            <w:rStyle w:val="Hyperlink"/>
            <w:noProof/>
          </w:rPr>
          <w:t>Travel Time Savings – Commercial Trucks</w:t>
        </w:r>
        <w:r>
          <w:rPr>
            <w:noProof/>
            <w:webHidden/>
          </w:rPr>
          <w:tab/>
        </w:r>
        <w:r>
          <w:rPr>
            <w:noProof/>
            <w:webHidden/>
          </w:rPr>
          <w:fldChar w:fldCharType="begin"/>
        </w:r>
        <w:r>
          <w:rPr>
            <w:noProof/>
            <w:webHidden/>
          </w:rPr>
          <w:instrText xml:space="preserve"> PAGEREF _Toc448780339 \h </w:instrText>
        </w:r>
        <w:r>
          <w:rPr>
            <w:noProof/>
            <w:webHidden/>
          </w:rPr>
        </w:r>
        <w:r>
          <w:rPr>
            <w:noProof/>
            <w:webHidden/>
          </w:rPr>
          <w:fldChar w:fldCharType="separate"/>
        </w:r>
        <w:r>
          <w:rPr>
            <w:noProof/>
            <w:webHidden/>
          </w:rPr>
          <w:t>3-17</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40" w:history="1">
        <w:r w:rsidRPr="00237B85">
          <w:rPr>
            <w:rStyle w:val="Hyperlink"/>
            <w:noProof/>
          </w:rPr>
          <w:t>3.1.1.3</w:t>
        </w:r>
        <w:r>
          <w:rPr>
            <w:rFonts w:asciiTheme="minorHAnsi" w:eastAsiaTheme="minorEastAsia" w:hAnsiTheme="minorHAnsi" w:cstheme="minorBidi"/>
            <w:noProof/>
            <w:szCs w:val="22"/>
          </w:rPr>
          <w:tab/>
        </w:r>
        <w:r w:rsidRPr="00237B85">
          <w:rPr>
            <w:rStyle w:val="Hyperlink"/>
            <w:noProof/>
          </w:rPr>
          <w:t>Travel Time Savings – Bustang Express Bus</w:t>
        </w:r>
        <w:r>
          <w:rPr>
            <w:noProof/>
            <w:webHidden/>
          </w:rPr>
          <w:tab/>
        </w:r>
        <w:r>
          <w:rPr>
            <w:noProof/>
            <w:webHidden/>
          </w:rPr>
          <w:fldChar w:fldCharType="begin"/>
        </w:r>
        <w:r>
          <w:rPr>
            <w:noProof/>
            <w:webHidden/>
          </w:rPr>
          <w:instrText xml:space="preserve"> PAGEREF _Toc448780340 \h </w:instrText>
        </w:r>
        <w:r>
          <w:rPr>
            <w:noProof/>
            <w:webHidden/>
          </w:rPr>
        </w:r>
        <w:r>
          <w:rPr>
            <w:noProof/>
            <w:webHidden/>
          </w:rPr>
          <w:fldChar w:fldCharType="separate"/>
        </w:r>
        <w:r>
          <w:rPr>
            <w:noProof/>
            <w:webHidden/>
          </w:rPr>
          <w:t>3-17</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41" w:history="1">
        <w:r w:rsidRPr="00237B85">
          <w:rPr>
            <w:rStyle w:val="Hyperlink"/>
            <w:noProof/>
          </w:rPr>
          <w:t>3.2</w:t>
        </w:r>
        <w:r>
          <w:rPr>
            <w:rFonts w:asciiTheme="minorHAnsi" w:eastAsiaTheme="minorEastAsia" w:hAnsiTheme="minorHAnsi" w:cstheme="minorBidi"/>
            <w:noProof/>
            <w:szCs w:val="22"/>
          </w:rPr>
          <w:tab/>
        </w:r>
        <w:r w:rsidRPr="00237B85">
          <w:rPr>
            <w:rStyle w:val="Hyperlink"/>
            <w:noProof/>
          </w:rPr>
          <w:t>Safety Outcomes</w:t>
        </w:r>
        <w:r>
          <w:rPr>
            <w:noProof/>
            <w:webHidden/>
          </w:rPr>
          <w:tab/>
        </w:r>
        <w:r>
          <w:rPr>
            <w:noProof/>
            <w:webHidden/>
          </w:rPr>
          <w:fldChar w:fldCharType="begin"/>
        </w:r>
        <w:r>
          <w:rPr>
            <w:noProof/>
            <w:webHidden/>
          </w:rPr>
          <w:instrText xml:space="preserve"> PAGEREF _Toc448780341 \h </w:instrText>
        </w:r>
        <w:r>
          <w:rPr>
            <w:noProof/>
            <w:webHidden/>
          </w:rPr>
        </w:r>
        <w:r>
          <w:rPr>
            <w:noProof/>
            <w:webHidden/>
          </w:rPr>
          <w:fldChar w:fldCharType="separate"/>
        </w:r>
        <w:r>
          <w:rPr>
            <w:noProof/>
            <w:webHidden/>
          </w:rPr>
          <w:t>3-18</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42" w:history="1">
        <w:r w:rsidRPr="00237B85">
          <w:rPr>
            <w:rStyle w:val="Hyperlink"/>
            <w:noProof/>
          </w:rPr>
          <w:t>3.3</w:t>
        </w:r>
        <w:r>
          <w:rPr>
            <w:rFonts w:asciiTheme="minorHAnsi" w:eastAsiaTheme="minorEastAsia" w:hAnsiTheme="minorHAnsi" w:cstheme="minorBidi"/>
            <w:noProof/>
            <w:szCs w:val="22"/>
          </w:rPr>
          <w:tab/>
        </w:r>
        <w:r w:rsidRPr="00237B85">
          <w:rPr>
            <w:rStyle w:val="Hyperlink"/>
            <w:noProof/>
          </w:rPr>
          <w:t>Environmental Outcomes</w:t>
        </w:r>
        <w:r>
          <w:rPr>
            <w:noProof/>
            <w:webHidden/>
          </w:rPr>
          <w:tab/>
        </w:r>
        <w:r>
          <w:rPr>
            <w:noProof/>
            <w:webHidden/>
          </w:rPr>
          <w:fldChar w:fldCharType="begin"/>
        </w:r>
        <w:r>
          <w:rPr>
            <w:noProof/>
            <w:webHidden/>
          </w:rPr>
          <w:instrText xml:space="preserve"> PAGEREF _Toc448780342 \h </w:instrText>
        </w:r>
        <w:r>
          <w:rPr>
            <w:noProof/>
            <w:webHidden/>
          </w:rPr>
        </w:r>
        <w:r>
          <w:rPr>
            <w:noProof/>
            <w:webHidden/>
          </w:rPr>
          <w:fldChar w:fldCharType="separate"/>
        </w:r>
        <w:r>
          <w:rPr>
            <w:noProof/>
            <w:webHidden/>
          </w:rPr>
          <w:t>3-19</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43" w:history="1">
        <w:r w:rsidRPr="00237B85">
          <w:rPr>
            <w:rStyle w:val="Hyperlink"/>
            <w:noProof/>
          </w:rPr>
          <w:t>3.3.1</w:t>
        </w:r>
        <w:r>
          <w:rPr>
            <w:rFonts w:asciiTheme="minorHAnsi" w:eastAsiaTheme="minorEastAsia" w:hAnsiTheme="minorHAnsi" w:cstheme="minorBidi"/>
            <w:noProof/>
            <w:szCs w:val="22"/>
          </w:rPr>
          <w:tab/>
        </w:r>
        <w:r w:rsidRPr="00237B85">
          <w:rPr>
            <w:rStyle w:val="Hyperlink"/>
            <w:noProof/>
          </w:rPr>
          <w:t>Emissions Reduction</w:t>
        </w:r>
        <w:r>
          <w:rPr>
            <w:noProof/>
            <w:webHidden/>
          </w:rPr>
          <w:tab/>
        </w:r>
        <w:r>
          <w:rPr>
            <w:noProof/>
            <w:webHidden/>
          </w:rPr>
          <w:fldChar w:fldCharType="begin"/>
        </w:r>
        <w:r>
          <w:rPr>
            <w:noProof/>
            <w:webHidden/>
          </w:rPr>
          <w:instrText xml:space="preserve"> PAGEREF _Toc448780343 \h </w:instrText>
        </w:r>
        <w:r>
          <w:rPr>
            <w:noProof/>
            <w:webHidden/>
          </w:rPr>
        </w:r>
        <w:r>
          <w:rPr>
            <w:noProof/>
            <w:webHidden/>
          </w:rPr>
          <w:fldChar w:fldCharType="separate"/>
        </w:r>
        <w:r>
          <w:rPr>
            <w:noProof/>
            <w:webHidden/>
          </w:rPr>
          <w:t>3-19</w:t>
        </w:r>
        <w:r>
          <w:rPr>
            <w:noProof/>
            <w:webHidden/>
          </w:rPr>
          <w:fldChar w:fldCharType="end"/>
        </w:r>
      </w:hyperlink>
    </w:p>
    <w:p w:rsidR="00FA4CC7" w:rsidRDefault="00FA4CC7">
      <w:pPr>
        <w:pStyle w:val="TOC1"/>
        <w:rPr>
          <w:rFonts w:asciiTheme="minorHAnsi" w:eastAsiaTheme="minorEastAsia" w:hAnsiTheme="minorHAnsi" w:cstheme="minorBidi"/>
          <w:b w:val="0"/>
          <w:bCs w:val="0"/>
          <w:noProof/>
          <w:szCs w:val="22"/>
        </w:rPr>
      </w:pPr>
      <w:hyperlink w:anchor="_Toc448780344" w:history="1">
        <w:r w:rsidRPr="00237B85">
          <w:rPr>
            <w:rStyle w:val="Hyperlink"/>
            <w:rFonts w:ascii="Times New Roman" w:hAnsi="Times New Roman"/>
            <w:noProof/>
          </w:rPr>
          <w:t>Section 4</w:t>
        </w:r>
        <w:r>
          <w:rPr>
            <w:rFonts w:asciiTheme="minorHAnsi" w:eastAsiaTheme="minorEastAsia" w:hAnsiTheme="minorHAnsi" w:cstheme="minorBidi"/>
            <w:b w:val="0"/>
            <w:bCs w:val="0"/>
            <w:noProof/>
            <w:szCs w:val="22"/>
          </w:rPr>
          <w:tab/>
        </w:r>
        <w:r w:rsidRPr="00237B85">
          <w:rPr>
            <w:rStyle w:val="Hyperlink"/>
            <w:rFonts w:ascii="Times New Roman" w:hAnsi="Times New Roman"/>
            <w:noProof/>
          </w:rPr>
          <w:t>Costs Analysis</w:t>
        </w:r>
        <w:r>
          <w:rPr>
            <w:noProof/>
            <w:webHidden/>
          </w:rPr>
          <w:tab/>
        </w:r>
        <w:r>
          <w:rPr>
            <w:noProof/>
            <w:webHidden/>
          </w:rPr>
          <w:fldChar w:fldCharType="begin"/>
        </w:r>
        <w:r>
          <w:rPr>
            <w:noProof/>
            <w:webHidden/>
          </w:rPr>
          <w:instrText xml:space="preserve"> PAGEREF _Toc448780344 \h </w:instrText>
        </w:r>
        <w:r>
          <w:rPr>
            <w:noProof/>
            <w:webHidden/>
          </w:rPr>
        </w:r>
        <w:r>
          <w:rPr>
            <w:noProof/>
            <w:webHidden/>
          </w:rPr>
          <w:fldChar w:fldCharType="separate"/>
        </w:r>
        <w:r>
          <w:rPr>
            <w:noProof/>
            <w:webHidden/>
          </w:rPr>
          <w:t>4-20</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45" w:history="1">
        <w:r w:rsidRPr="00237B85">
          <w:rPr>
            <w:rStyle w:val="Hyperlink"/>
            <w:noProof/>
          </w:rPr>
          <w:t>4.1</w:t>
        </w:r>
        <w:r>
          <w:rPr>
            <w:rFonts w:asciiTheme="minorHAnsi" w:eastAsiaTheme="minorEastAsia" w:hAnsiTheme="minorHAnsi" w:cstheme="minorBidi"/>
            <w:noProof/>
            <w:szCs w:val="22"/>
          </w:rPr>
          <w:tab/>
        </w:r>
        <w:r w:rsidRPr="00237B85">
          <w:rPr>
            <w:rStyle w:val="Hyperlink"/>
            <w:noProof/>
          </w:rPr>
          <w:t>Initial Capital Costs for I-25 Project</w:t>
        </w:r>
        <w:r>
          <w:rPr>
            <w:noProof/>
            <w:webHidden/>
          </w:rPr>
          <w:tab/>
        </w:r>
        <w:r>
          <w:rPr>
            <w:noProof/>
            <w:webHidden/>
          </w:rPr>
          <w:fldChar w:fldCharType="begin"/>
        </w:r>
        <w:r>
          <w:rPr>
            <w:noProof/>
            <w:webHidden/>
          </w:rPr>
          <w:instrText xml:space="preserve"> PAGEREF _Toc448780345 \h </w:instrText>
        </w:r>
        <w:r>
          <w:rPr>
            <w:noProof/>
            <w:webHidden/>
          </w:rPr>
        </w:r>
        <w:r>
          <w:rPr>
            <w:noProof/>
            <w:webHidden/>
          </w:rPr>
          <w:fldChar w:fldCharType="separate"/>
        </w:r>
        <w:r>
          <w:rPr>
            <w:noProof/>
            <w:webHidden/>
          </w:rPr>
          <w:t>4-21</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46" w:history="1">
        <w:r w:rsidRPr="00237B85">
          <w:rPr>
            <w:rStyle w:val="Hyperlink"/>
            <w:noProof/>
          </w:rPr>
          <w:t>4.1.1</w:t>
        </w:r>
        <w:r>
          <w:rPr>
            <w:rFonts w:asciiTheme="minorHAnsi" w:eastAsiaTheme="minorEastAsia" w:hAnsiTheme="minorHAnsi" w:cstheme="minorBidi"/>
            <w:noProof/>
            <w:szCs w:val="22"/>
          </w:rPr>
          <w:tab/>
        </w:r>
        <w:r w:rsidRPr="00237B85">
          <w:rPr>
            <w:rStyle w:val="Hyperlink"/>
            <w:noProof/>
          </w:rPr>
          <w:t>General Purpose Lanes</w:t>
        </w:r>
        <w:r>
          <w:rPr>
            <w:noProof/>
            <w:webHidden/>
          </w:rPr>
          <w:tab/>
        </w:r>
        <w:r>
          <w:rPr>
            <w:noProof/>
            <w:webHidden/>
          </w:rPr>
          <w:fldChar w:fldCharType="begin"/>
        </w:r>
        <w:r>
          <w:rPr>
            <w:noProof/>
            <w:webHidden/>
          </w:rPr>
          <w:instrText xml:space="preserve"> PAGEREF _Toc448780346 \h </w:instrText>
        </w:r>
        <w:r>
          <w:rPr>
            <w:noProof/>
            <w:webHidden/>
          </w:rPr>
        </w:r>
        <w:r>
          <w:rPr>
            <w:noProof/>
            <w:webHidden/>
          </w:rPr>
          <w:fldChar w:fldCharType="separate"/>
        </w:r>
        <w:r>
          <w:rPr>
            <w:noProof/>
            <w:webHidden/>
          </w:rPr>
          <w:t>4-21</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47" w:history="1">
        <w:r w:rsidRPr="00237B85">
          <w:rPr>
            <w:rStyle w:val="Hyperlink"/>
            <w:noProof/>
          </w:rPr>
          <w:t>4.1.2</w:t>
        </w:r>
        <w:r>
          <w:rPr>
            <w:rFonts w:asciiTheme="minorHAnsi" w:eastAsiaTheme="minorEastAsia" w:hAnsiTheme="minorHAnsi" w:cstheme="minorBidi"/>
            <w:noProof/>
            <w:szCs w:val="22"/>
          </w:rPr>
          <w:tab/>
        </w:r>
        <w:r w:rsidRPr="00237B85">
          <w:rPr>
            <w:rStyle w:val="Hyperlink"/>
            <w:noProof/>
          </w:rPr>
          <w:t>Managed Lanes</w:t>
        </w:r>
        <w:r>
          <w:rPr>
            <w:noProof/>
            <w:webHidden/>
          </w:rPr>
          <w:tab/>
        </w:r>
        <w:r>
          <w:rPr>
            <w:noProof/>
            <w:webHidden/>
          </w:rPr>
          <w:fldChar w:fldCharType="begin"/>
        </w:r>
        <w:r>
          <w:rPr>
            <w:noProof/>
            <w:webHidden/>
          </w:rPr>
          <w:instrText xml:space="preserve"> PAGEREF _Toc448780347 \h </w:instrText>
        </w:r>
        <w:r>
          <w:rPr>
            <w:noProof/>
            <w:webHidden/>
          </w:rPr>
        </w:r>
        <w:r>
          <w:rPr>
            <w:noProof/>
            <w:webHidden/>
          </w:rPr>
          <w:fldChar w:fldCharType="separate"/>
        </w:r>
        <w:r>
          <w:rPr>
            <w:noProof/>
            <w:webHidden/>
          </w:rPr>
          <w:t>4-21</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48" w:history="1">
        <w:r w:rsidRPr="00237B85">
          <w:rPr>
            <w:rStyle w:val="Hyperlink"/>
            <w:noProof/>
          </w:rPr>
          <w:t>4.1.3</w:t>
        </w:r>
        <w:r>
          <w:rPr>
            <w:rFonts w:asciiTheme="minorHAnsi" w:eastAsiaTheme="minorEastAsia" w:hAnsiTheme="minorHAnsi" w:cstheme="minorBidi"/>
            <w:noProof/>
            <w:szCs w:val="22"/>
          </w:rPr>
          <w:tab/>
        </w:r>
        <w:r w:rsidRPr="00237B85">
          <w:rPr>
            <w:rStyle w:val="Hyperlink"/>
            <w:noProof/>
          </w:rPr>
          <w:t>Bridges</w:t>
        </w:r>
        <w:r>
          <w:rPr>
            <w:noProof/>
            <w:webHidden/>
          </w:rPr>
          <w:tab/>
        </w:r>
        <w:r>
          <w:rPr>
            <w:noProof/>
            <w:webHidden/>
          </w:rPr>
          <w:fldChar w:fldCharType="begin"/>
        </w:r>
        <w:r>
          <w:rPr>
            <w:noProof/>
            <w:webHidden/>
          </w:rPr>
          <w:instrText xml:space="preserve"> PAGEREF _Toc448780348 \h </w:instrText>
        </w:r>
        <w:r>
          <w:rPr>
            <w:noProof/>
            <w:webHidden/>
          </w:rPr>
        </w:r>
        <w:r>
          <w:rPr>
            <w:noProof/>
            <w:webHidden/>
          </w:rPr>
          <w:fldChar w:fldCharType="separate"/>
        </w:r>
        <w:r>
          <w:rPr>
            <w:noProof/>
            <w:webHidden/>
          </w:rPr>
          <w:t>4-21</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49" w:history="1">
        <w:r w:rsidRPr="00237B85">
          <w:rPr>
            <w:rStyle w:val="Hyperlink"/>
            <w:noProof/>
          </w:rPr>
          <w:t>4.1.3.1</w:t>
        </w:r>
        <w:r>
          <w:rPr>
            <w:rFonts w:asciiTheme="minorHAnsi" w:eastAsiaTheme="minorEastAsia" w:hAnsiTheme="minorHAnsi" w:cstheme="minorBidi"/>
            <w:noProof/>
            <w:szCs w:val="22"/>
          </w:rPr>
          <w:tab/>
        </w:r>
        <w:r w:rsidRPr="00237B85">
          <w:rPr>
            <w:rStyle w:val="Hyperlink"/>
            <w:noProof/>
          </w:rPr>
          <w:t>Bus Related Infrastructure</w:t>
        </w:r>
        <w:r>
          <w:rPr>
            <w:noProof/>
            <w:webHidden/>
          </w:rPr>
          <w:tab/>
        </w:r>
        <w:r>
          <w:rPr>
            <w:noProof/>
            <w:webHidden/>
          </w:rPr>
          <w:fldChar w:fldCharType="begin"/>
        </w:r>
        <w:r>
          <w:rPr>
            <w:noProof/>
            <w:webHidden/>
          </w:rPr>
          <w:instrText xml:space="preserve"> PAGEREF _Toc448780349 \h </w:instrText>
        </w:r>
        <w:r>
          <w:rPr>
            <w:noProof/>
            <w:webHidden/>
          </w:rPr>
        </w:r>
        <w:r>
          <w:rPr>
            <w:noProof/>
            <w:webHidden/>
          </w:rPr>
          <w:fldChar w:fldCharType="separate"/>
        </w:r>
        <w:r>
          <w:rPr>
            <w:noProof/>
            <w:webHidden/>
          </w:rPr>
          <w:t>4-22</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50" w:history="1">
        <w:r w:rsidRPr="00237B85">
          <w:rPr>
            <w:rStyle w:val="Hyperlink"/>
            <w:noProof/>
          </w:rPr>
          <w:t>4.1.4</w:t>
        </w:r>
        <w:r>
          <w:rPr>
            <w:rFonts w:asciiTheme="minorHAnsi" w:eastAsiaTheme="minorEastAsia" w:hAnsiTheme="minorHAnsi" w:cstheme="minorBidi"/>
            <w:noProof/>
            <w:szCs w:val="22"/>
          </w:rPr>
          <w:tab/>
        </w:r>
        <w:r w:rsidRPr="00237B85">
          <w:rPr>
            <w:rStyle w:val="Hyperlink"/>
            <w:noProof/>
          </w:rPr>
          <w:t>Schedule of Construction Expenditures</w:t>
        </w:r>
        <w:r>
          <w:rPr>
            <w:noProof/>
            <w:webHidden/>
          </w:rPr>
          <w:tab/>
        </w:r>
        <w:r>
          <w:rPr>
            <w:noProof/>
            <w:webHidden/>
          </w:rPr>
          <w:fldChar w:fldCharType="begin"/>
        </w:r>
        <w:r>
          <w:rPr>
            <w:noProof/>
            <w:webHidden/>
          </w:rPr>
          <w:instrText xml:space="preserve"> PAGEREF _Toc448780350 \h </w:instrText>
        </w:r>
        <w:r>
          <w:rPr>
            <w:noProof/>
            <w:webHidden/>
          </w:rPr>
        </w:r>
        <w:r>
          <w:rPr>
            <w:noProof/>
            <w:webHidden/>
          </w:rPr>
          <w:fldChar w:fldCharType="separate"/>
        </w:r>
        <w:r>
          <w:rPr>
            <w:noProof/>
            <w:webHidden/>
          </w:rPr>
          <w:t>4-23</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51" w:history="1">
        <w:r w:rsidRPr="00237B85">
          <w:rPr>
            <w:rStyle w:val="Hyperlink"/>
            <w:noProof/>
          </w:rPr>
          <w:t>4.2</w:t>
        </w:r>
        <w:r>
          <w:rPr>
            <w:rFonts w:asciiTheme="minorHAnsi" w:eastAsiaTheme="minorEastAsia" w:hAnsiTheme="minorHAnsi" w:cstheme="minorBidi"/>
            <w:noProof/>
            <w:szCs w:val="22"/>
          </w:rPr>
          <w:tab/>
        </w:r>
        <w:r w:rsidRPr="00237B85">
          <w:rPr>
            <w:rStyle w:val="Hyperlink"/>
            <w:noProof/>
          </w:rPr>
          <w:t>Annual Operating and Maintenance Costs</w:t>
        </w:r>
        <w:r>
          <w:rPr>
            <w:noProof/>
            <w:webHidden/>
          </w:rPr>
          <w:tab/>
        </w:r>
        <w:r>
          <w:rPr>
            <w:noProof/>
            <w:webHidden/>
          </w:rPr>
          <w:fldChar w:fldCharType="begin"/>
        </w:r>
        <w:r>
          <w:rPr>
            <w:noProof/>
            <w:webHidden/>
          </w:rPr>
          <w:instrText xml:space="preserve"> PAGEREF _Toc448780351 \h </w:instrText>
        </w:r>
        <w:r>
          <w:rPr>
            <w:noProof/>
            <w:webHidden/>
          </w:rPr>
        </w:r>
        <w:r>
          <w:rPr>
            <w:noProof/>
            <w:webHidden/>
          </w:rPr>
          <w:fldChar w:fldCharType="separate"/>
        </w:r>
        <w:r>
          <w:rPr>
            <w:noProof/>
            <w:webHidden/>
          </w:rPr>
          <w:t>4-23</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52" w:history="1">
        <w:r w:rsidRPr="00237B85">
          <w:rPr>
            <w:rStyle w:val="Hyperlink"/>
            <w:noProof/>
          </w:rPr>
          <w:t>4.3</w:t>
        </w:r>
        <w:r>
          <w:rPr>
            <w:rFonts w:asciiTheme="minorHAnsi" w:eastAsiaTheme="minorEastAsia" w:hAnsiTheme="minorHAnsi" w:cstheme="minorBidi"/>
            <w:noProof/>
            <w:szCs w:val="22"/>
          </w:rPr>
          <w:tab/>
        </w:r>
        <w:r w:rsidRPr="00237B85">
          <w:rPr>
            <w:rStyle w:val="Hyperlink"/>
            <w:noProof/>
          </w:rPr>
          <w:t>Discounted Capital and Operations and Maintenance Costs</w:t>
        </w:r>
        <w:r>
          <w:rPr>
            <w:noProof/>
            <w:webHidden/>
          </w:rPr>
          <w:tab/>
        </w:r>
        <w:r>
          <w:rPr>
            <w:noProof/>
            <w:webHidden/>
          </w:rPr>
          <w:fldChar w:fldCharType="begin"/>
        </w:r>
        <w:r>
          <w:rPr>
            <w:noProof/>
            <w:webHidden/>
          </w:rPr>
          <w:instrText xml:space="preserve"> PAGEREF _Toc448780352 \h </w:instrText>
        </w:r>
        <w:r>
          <w:rPr>
            <w:noProof/>
            <w:webHidden/>
          </w:rPr>
        </w:r>
        <w:r>
          <w:rPr>
            <w:noProof/>
            <w:webHidden/>
          </w:rPr>
          <w:fldChar w:fldCharType="separate"/>
        </w:r>
        <w:r>
          <w:rPr>
            <w:noProof/>
            <w:webHidden/>
          </w:rPr>
          <w:t>4-23</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53" w:history="1">
        <w:r w:rsidRPr="00237B85">
          <w:rPr>
            <w:rStyle w:val="Hyperlink"/>
            <w:noProof/>
          </w:rPr>
          <w:t>4.3.1</w:t>
        </w:r>
        <w:r>
          <w:rPr>
            <w:rFonts w:asciiTheme="minorHAnsi" w:eastAsiaTheme="minorEastAsia" w:hAnsiTheme="minorHAnsi" w:cstheme="minorBidi"/>
            <w:noProof/>
            <w:szCs w:val="22"/>
          </w:rPr>
          <w:tab/>
        </w:r>
        <w:r w:rsidRPr="00237B85">
          <w:rPr>
            <w:rStyle w:val="Hyperlink"/>
            <w:noProof/>
          </w:rPr>
          <w:t>Residual Value</w:t>
        </w:r>
        <w:r>
          <w:rPr>
            <w:noProof/>
            <w:webHidden/>
          </w:rPr>
          <w:tab/>
        </w:r>
        <w:r>
          <w:rPr>
            <w:noProof/>
            <w:webHidden/>
          </w:rPr>
          <w:fldChar w:fldCharType="begin"/>
        </w:r>
        <w:r>
          <w:rPr>
            <w:noProof/>
            <w:webHidden/>
          </w:rPr>
          <w:instrText xml:space="preserve"> PAGEREF _Toc448780353 \h </w:instrText>
        </w:r>
        <w:r>
          <w:rPr>
            <w:noProof/>
            <w:webHidden/>
          </w:rPr>
        </w:r>
        <w:r>
          <w:rPr>
            <w:noProof/>
            <w:webHidden/>
          </w:rPr>
          <w:fldChar w:fldCharType="separate"/>
        </w:r>
        <w:r>
          <w:rPr>
            <w:noProof/>
            <w:webHidden/>
          </w:rPr>
          <w:t>4-24</w:t>
        </w:r>
        <w:r>
          <w:rPr>
            <w:noProof/>
            <w:webHidden/>
          </w:rPr>
          <w:fldChar w:fldCharType="end"/>
        </w:r>
      </w:hyperlink>
    </w:p>
    <w:p w:rsidR="00FA4CC7" w:rsidRDefault="00FA4CC7">
      <w:pPr>
        <w:pStyle w:val="TOC1"/>
        <w:rPr>
          <w:rFonts w:asciiTheme="minorHAnsi" w:eastAsiaTheme="minorEastAsia" w:hAnsiTheme="minorHAnsi" w:cstheme="minorBidi"/>
          <w:b w:val="0"/>
          <w:bCs w:val="0"/>
          <w:noProof/>
          <w:szCs w:val="22"/>
        </w:rPr>
      </w:pPr>
      <w:hyperlink w:anchor="_Toc448780354" w:history="1">
        <w:r w:rsidRPr="00237B85">
          <w:rPr>
            <w:rStyle w:val="Hyperlink"/>
            <w:rFonts w:ascii="Times New Roman" w:hAnsi="Times New Roman"/>
            <w:noProof/>
          </w:rPr>
          <w:t>Section 5</w:t>
        </w:r>
        <w:r>
          <w:rPr>
            <w:rFonts w:asciiTheme="minorHAnsi" w:eastAsiaTheme="minorEastAsia" w:hAnsiTheme="minorHAnsi" w:cstheme="minorBidi"/>
            <w:b w:val="0"/>
            <w:bCs w:val="0"/>
            <w:noProof/>
            <w:szCs w:val="22"/>
          </w:rPr>
          <w:tab/>
        </w:r>
        <w:r w:rsidRPr="00237B85">
          <w:rPr>
            <w:rStyle w:val="Hyperlink"/>
            <w:rFonts w:ascii="Times New Roman" w:hAnsi="Times New Roman"/>
            <w:noProof/>
          </w:rPr>
          <w:t>Benefits Cost Analysis Results</w:t>
        </w:r>
        <w:r>
          <w:rPr>
            <w:noProof/>
            <w:webHidden/>
          </w:rPr>
          <w:tab/>
        </w:r>
        <w:r>
          <w:rPr>
            <w:noProof/>
            <w:webHidden/>
          </w:rPr>
          <w:fldChar w:fldCharType="begin"/>
        </w:r>
        <w:r>
          <w:rPr>
            <w:noProof/>
            <w:webHidden/>
          </w:rPr>
          <w:instrText xml:space="preserve"> PAGEREF _Toc448780354 \h </w:instrText>
        </w:r>
        <w:r>
          <w:rPr>
            <w:noProof/>
            <w:webHidden/>
          </w:rPr>
        </w:r>
        <w:r>
          <w:rPr>
            <w:noProof/>
            <w:webHidden/>
          </w:rPr>
          <w:fldChar w:fldCharType="separate"/>
        </w:r>
        <w:r>
          <w:rPr>
            <w:noProof/>
            <w:webHidden/>
          </w:rPr>
          <w:t>5-25</w:t>
        </w:r>
        <w:r>
          <w:rPr>
            <w:noProof/>
            <w:webHidden/>
          </w:rPr>
          <w:fldChar w:fldCharType="end"/>
        </w:r>
      </w:hyperlink>
    </w:p>
    <w:p w:rsidR="00FA4CC7" w:rsidRDefault="00FA4CC7">
      <w:pPr>
        <w:pStyle w:val="TOC2"/>
        <w:rPr>
          <w:rFonts w:asciiTheme="minorHAnsi" w:eastAsiaTheme="minorEastAsia" w:hAnsiTheme="minorHAnsi" w:cstheme="minorBidi"/>
          <w:noProof/>
          <w:szCs w:val="22"/>
        </w:rPr>
      </w:pPr>
      <w:hyperlink w:anchor="_Toc448780355" w:history="1">
        <w:r w:rsidRPr="00237B85">
          <w:rPr>
            <w:rStyle w:val="Hyperlink"/>
            <w:noProof/>
          </w:rPr>
          <w:t>5.1</w:t>
        </w:r>
        <w:r>
          <w:rPr>
            <w:rFonts w:asciiTheme="minorHAnsi" w:eastAsiaTheme="minorEastAsia" w:hAnsiTheme="minorHAnsi" w:cstheme="minorBidi"/>
            <w:noProof/>
            <w:szCs w:val="22"/>
          </w:rPr>
          <w:tab/>
        </w:r>
        <w:r w:rsidRPr="00237B85">
          <w:rPr>
            <w:rStyle w:val="Hyperlink"/>
            <w:noProof/>
          </w:rPr>
          <w:t>Benefits by Long Term Outcomes</w:t>
        </w:r>
        <w:r>
          <w:rPr>
            <w:noProof/>
            <w:webHidden/>
          </w:rPr>
          <w:tab/>
        </w:r>
        <w:r>
          <w:rPr>
            <w:noProof/>
            <w:webHidden/>
          </w:rPr>
          <w:fldChar w:fldCharType="begin"/>
        </w:r>
        <w:r>
          <w:rPr>
            <w:noProof/>
            <w:webHidden/>
          </w:rPr>
          <w:instrText xml:space="preserve"> PAGEREF _Toc448780355 \h </w:instrText>
        </w:r>
        <w:r>
          <w:rPr>
            <w:noProof/>
            <w:webHidden/>
          </w:rPr>
        </w:r>
        <w:r>
          <w:rPr>
            <w:noProof/>
            <w:webHidden/>
          </w:rPr>
          <w:fldChar w:fldCharType="separate"/>
        </w:r>
        <w:r>
          <w:rPr>
            <w:noProof/>
            <w:webHidden/>
          </w:rPr>
          <w:t>5-26</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56" w:history="1">
        <w:r w:rsidRPr="00237B85">
          <w:rPr>
            <w:rStyle w:val="Hyperlink"/>
            <w:noProof/>
          </w:rPr>
          <w:t>5.1.1</w:t>
        </w:r>
        <w:r>
          <w:rPr>
            <w:rFonts w:asciiTheme="minorHAnsi" w:eastAsiaTheme="minorEastAsia" w:hAnsiTheme="minorHAnsi" w:cstheme="minorBidi"/>
            <w:noProof/>
            <w:szCs w:val="22"/>
          </w:rPr>
          <w:tab/>
        </w:r>
        <w:r w:rsidRPr="00237B85">
          <w:rPr>
            <w:rStyle w:val="Hyperlink"/>
            <w:noProof/>
          </w:rPr>
          <w:t>Economic Competitiveness</w:t>
        </w:r>
        <w:r>
          <w:rPr>
            <w:noProof/>
            <w:webHidden/>
          </w:rPr>
          <w:tab/>
        </w:r>
        <w:r>
          <w:rPr>
            <w:noProof/>
            <w:webHidden/>
          </w:rPr>
          <w:fldChar w:fldCharType="begin"/>
        </w:r>
        <w:r>
          <w:rPr>
            <w:noProof/>
            <w:webHidden/>
          </w:rPr>
          <w:instrText xml:space="preserve"> PAGEREF _Toc448780356 \h </w:instrText>
        </w:r>
        <w:r>
          <w:rPr>
            <w:noProof/>
            <w:webHidden/>
          </w:rPr>
        </w:r>
        <w:r>
          <w:rPr>
            <w:noProof/>
            <w:webHidden/>
          </w:rPr>
          <w:fldChar w:fldCharType="separate"/>
        </w:r>
        <w:r>
          <w:rPr>
            <w:noProof/>
            <w:webHidden/>
          </w:rPr>
          <w:t>5-26</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57" w:history="1">
        <w:r w:rsidRPr="00237B85">
          <w:rPr>
            <w:rStyle w:val="Hyperlink"/>
            <w:noProof/>
          </w:rPr>
          <w:t>5.1.1.1</w:t>
        </w:r>
        <w:r>
          <w:rPr>
            <w:rFonts w:asciiTheme="minorHAnsi" w:eastAsiaTheme="minorEastAsia" w:hAnsiTheme="minorHAnsi" w:cstheme="minorBidi"/>
            <w:noProof/>
            <w:szCs w:val="22"/>
          </w:rPr>
          <w:tab/>
        </w:r>
        <w:r w:rsidRPr="00237B85">
          <w:rPr>
            <w:rStyle w:val="Hyperlink"/>
            <w:noProof/>
          </w:rPr>
          <w:t>Personal Vehicle and Passenger Travel Time Savings</w:t>
        </w:r>
        <w:r>
          <w:rPr>
            <w:noProof/>
            <w:webHidden/>
          </w:rPr>
          <w:tab/>
        </w:r>
        <w:r>
          <w:rPr>
            <w:noProof/>
            <w:webHidden/>
          </w:rPr>
          <w:fldChar w:fldCharType="begin"/>
        </w:r>
        <w:r>
          <w:rPr>
            <w:noProof/>
            <w:webHidden/>
          </w:rPr>
          <w:instrText xml:space="preserve"> PAGEREF _Toc448780357 \h </w:instrText>
        </w:r>
        <w:r>
          <w:rPr>
            <w:noProof/>
            <w:webHidden/>
          </w:rPr>
        </w:r>
        <w:r>
          <w:rPr>
            <w:noProof/>
            <w:webHidden/>
          </w:rPr>
          <w:fldChar w:fldCharType="separate"/>
        </w:r>
        <w:r>
          <w:rPr>
            <w:noProof/>
            <w:webHidden/>
          </w:rPr>
          <w:t>5-27</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58" w:history="1">
        <w:r w:rsidRPr="00237B85">
          <w:rPr>
            <w:rStyle w:val="Hyperlink"/>
            <w:noProof/>
          </w:rPr>
          <w:t>5.1.1.2</w:t>
        </w:r>
        <w:r>
          <w:rPr>
            <w:rFonts w:asciiTheme="minorHAnsi" w:eastAsiaTheme="minorEastAsia" w:hAnsiTheme="minorHAnsi" w:cstheme="minorBidi"/>
            <w:noProof/>
            <w:szCs w:val="22"/>
          </w:rPr>
          <w:tab/>
        </w:r>
        <w:r w:rsidRPr="00237B85">
          <w:rPr>
            <w:rStyle w:val="Hyperlink"/>
            <w:noProof/>
          </w:rPr>
          <w:t>Travel Time Savings – Bustang Passengers</w:t>
        </w:r>
        <w:r>
          <w:rPr>
            <w:noProof/>
            <w:webHidden/>
          </w:rPr>
          <w:tab/>
        </w:r>
        <w:r>
          <w:rPr>
            <w:noProof/>
            <w:webHidden/>
          </w:rPr>
          <w:fldChar w:fldCharType="begin"/>
        </w:r>
        <w:r>
          <w:rPr>
            <w:noProof/>
            <w:webHidden/>
          </w:rPr>
          <w:instrText xml:space="preserve"> PAGEREF _Toc448780358 \h </w:instrText>
        </w:r>
        <w:r>
          <w:rPr>
            <w:noProof/>
            <w:webHidden/>
          </w:rPr>
        </w:r>
        <w:r>
          <w:rPr>
            <w:noProof/>
            <w:webHidden/>
          </w:rPr>
          <w:fldChar w:fldCharType="separate"/>
        </w:r>
        <w:r>
          <w:rPr>
            <w:noProof/>
            <w:webHidden/>
          </w:rPr>
          <w:t>5-27</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59" w:history="1">
        <w:r w:rsidRPr="00237B85">
          <w:rPr>
            <w:rStyle w:val="Hyperlink"/>
            <w:noProof/>
          </w:rPr>
          <w:t>5.1.1.3</w:t>
        </w:r>
        <w:r>
          <w:rPr>
            <w:rFonts w:asciiTheme="minorHAnsi" w:eastAsiaTheme="minorEastAsia" w:hAnsiTheme="minorHAnsi" w:cstheme="minorBidi"/>
            <w:noProof/>
            <w:szCs w:val="22"/>
          </w:rPr>
          <w:tab/>
        </w:r>
        <w:r w:rsidRPr="00237B85">
          <w:rPr>
            <w:rStyle w:val="Hyperlink"/>
            <w:noProof/>
          </w:rPr>
          <w:t>Travel Time Savings – Commercial Truck Drivers</w:t>
        </w:r>
        <w:r>
          <w:rPr>
            <w:noProof/>
            <w:webHidden/>
          </w:rPr>
          <w:tab/>
        </w:r>
        <w:r>
          <w:rPr>
            <w:noProof/>
            <w:webHidden/>
          </w:rPr>
          <w:fldChar w:fldCharType="begin"/>
        </w:r>
        <w:r>
          <w:rPr>
            <w:noProof/>
            <w:webHidden/>
          </w:rPr>
          <w:instrText xml:space="preserve"> PAGEREF _Toc448780359 \h </w:instrText>
        </w:r>
        <w:r>
          <w:rPr>
            <w:noProof/>
            <w:webHidden/>
          </w:rPr>
        </w:r>
        <w:r>
          <w:rPr>
            <w:noProof/>
            <w:webHidden/>
          </w:rPr>
          <w:fldChar w:fldCharType="separate"/>
        </w:r>
        <w:r>
          <w:rPr>
            <w:noProof/>
            <w:webHidden/>
          </w:rPr>
          <w:t>5-27</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60" w:history="1">
        <w:r w:rsidRPr="00237B85">
          <w:rPr>
            <w:rStyle w:val="Hyperlink"/>
            <w:noProof/>
          </w:rPr>
          <w:t>5.1.2</w:t>
        </w:r>
        <w:r>
          <w:rPr>
            <w:rFonts w:asciiTheme="minorHAnsi" w:eastAsiaTheme="minorEastAsia" w:hAnsiTheme="minorHAnsi" w:cstheme="minorBidi"/>
            <w:noProof/>
            <w:szCs w:val="22"/>
          </w:rPr>
          <w:tab/>
        </w:r>
        <w:r w:rsidRPr="00237B85">
          <w:rPr>
            <w:rStyle w:val="Hyperlink"/>
            <w:noProof/>
          </w:rPr>
          <w:t>Reduction in Vehicle Operating Costs</w:t>
        </w:r>
        <w:r>
          <w:rPr>
            <w:noProof/>
            <w:webHidden/>
          </w:rPr>
          <w:tab/>
        </w:r>
        <w:r>
          <w:rPr>
            <w:noProof/>
            <w:webHidden/>
          </w:rPr>
          <w:fldChar w:fldCharType="begin"/>
        </w:r>
        <w:r>
          <w:rPr>
            <w:noProof/>
            <w:webHidden/>
          </w:rPr>
          <w:instrText xml:space="preserve"> PAGEREF _Toc448780360 \h </w:instrText>
        </w:r>
        <w:r>
          <w:rPr>
            <w:noProof/>
            <w:webHidden/>
          </w:rPr>
        </w:r>
        <w:r>
          <w:rPr>
            <w:noProof/>
            <w:webHidden/>
          </w:rPr>
          <w:fldChar w:fldCharType="separate"/>
        </w:r>
        <w:r>
          <w:rPr>
            <w:noProof/>
            <w:webHidden/>
          </w:rPr>
          <w:t>5-28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1" w:history="1">
        <w:r w:rsidRPr="00237B85">
          <w:rPr>
            <w:rStyle w:val="Hyperlink"/>
            <w:noProof/>
          </w:rPr>
          <w:t>5.1.2.1</w:t>
        </w:r>
        <w:r>
          <w:rPr>
            <w:rFonts w:asciiTheme="minorHAnsi" w:eastAsiaTheme="minorEastAsia" w:hAnsiTheme="minorHAnsi" w:cstheme="minorBidi"/>
            <w:noProof/>
            <w:szCs w:val="22"/>
          </w:rPr>
          <w:tab/>
        </w:r>
        <w:r w:rsidRPr="00237B85">
          <w:rPr>
            <w:rStyle w:val="Hyperlink"/>
            <w:noProof/>
          </w:rPr>
          <w:t>Personal Vehicle Operating Savings</w:t>
        </w:r>
        <w:r>
          <w:rPr>
            <w:noProof/>
            <w:webHidden/>
          </w:rPr>
          <w:tab/>
        </w:r>
        <w:r>
          <w:rPr>
            <w:noProof/>
            <w:webHidden/>
          </w:rPr>
          <w:fldChar w:fldCharType="begin"/>
        </w:r>
        <w:r>
          <w:rPr>
            <w:noProof/>
            <w:webHidden/>
          </w:rPr>
          <w:instrText xml:space="preserve"> PAGEREF _Toc448780361 \h </w:instrText>
        </w:r>
        <w:r>
          <w:rPr>
            <w:noProof/>
            <w:webHidden/>
          </w:rPr>
        </w:r>
        <w:r>
          <w:rPr>
            <w:noProof/>
            <w:webHidden/>
          </w:rPr>
          <w:fldChar w:fldCharType="separate"/>
        </w:r>
        <w:r>
          <w:rPr>
            <w:noProof/>
            <w:webHidden/>
          </w:rPr>
          <w:t>5-28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2" w:history="1">
        <w:r w:rsidRPr="00237B85">
          <w:rPr>
            <w:rStyle w:val="Hyperlink"/>
            <w:noProof/>
          </w:rPr>
          <w:t>5.1.2.2</w:t>
        </w:r>
        <w:r>
          <w:rPr>
            <w:rFonts w:asciiTheme="minorHAnsi" w:eastAsiaTheme="minorEastAsia" w:hAnsiTheme="minorHAnsi" w:cstheme="minorBidi"/>
            <w:noProof/>
            <w:szCs w:val="22"/>
          </w:rPr>
          <w:tab/>
        </w:r>
        <w:r w:rsidRPr="00237B85">
          <w:rPr>
            <w:rStyle w:val="Hyperlink"/>
            <w:noProof/>
          </w:rPr>
          <w:t>Freight Operating Savings</w:t>
        </w:r>
        <w:r>
          <w:rPr>
            <w:noProof/>
            <w:webHidden/>
          </w:rPr>
          <w:tab/>
        </w:r>
        <w:r>
          <w:rPr>
            <w:noProof/>
            <w:webHidden/>
          </w:rPr>
          <w:fldChar w:fldCharType="begin"/>
        </w:r>
        <w:r>
          <w:rPr>
            <w:noProof/>
            <w:webHidden/>
          </w:rPr>
          <w:instrText xml:space="preserve"> PAGEREF _Toc448780362 \h </w:instrText>
        </w:r>
        <w:r>
          <w:rPr>
            <w:noProof/>
            <w:webHidden/>
          </w:rPr>
        </w:r>
        <w:r>
          <w:rPr>
            <w:noProof/>
            <w:webHidden/>
          </w:rPr>
          <w:fldChar w:fldCharType="separate"/>
        </w:r>
        <w:r>
          <w:rPr>
            <w:noProof/>
            <w:webHidden/>
          </w:rPr>
          <w:t>5-28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3" w:history="1">
        <w:r w:rsidRPr="00237B85">
          <w:rPr>
            <w:rStyle w:val="Hyperlink"/>
            <w:noProof/>
          </w:rPr>
          <w:t>5.1.2.3</w:t>
        </w:r>
        <w:r>
          <w:rPr>
            <w:rFonts w:asciiTheme="minorHAnsi" w:eastAsiaTheme="minorEastAsia" w:hAnsiTheme="minorHAnsi" w:cstheme="minorBidi"/>
            <w:noProof/>
            <w:szCs w:val="22"/>
          </w:rPr>
          <w:tab/>
        </w:r>
        <w:r w:rsidRPr="00237B85">
          <w:rPr>
            <w:rStyle w:val="Hyperlink"/>
            <w:noProof/>
          </w:rPr>
          <w:t>Freight Inventory Savings</w:t>
        </w:r>
        <w:r>
          <w:rPr>
            <w:noProof/>
            <w:webHidden/>
          </w:rPr>
          <w:tab/>
        </w:r>
        <w:r>
          <w:rPr>
            <w:noProof/>
            <w:webHidden/>
          </w:rPr>
          <w:fldChar w:fldCharType="begin"/>
        </w:r>
        <w:r>
          <w:rPr>
            <w:noProof/>
            <w:webHidden/>
          </w:rPr>
          <w:instrText xml:space="preserve"> PAGEREF _Toc448780363 \h </w:instrText>
        </w:r>
        <w:r>
          <w:rPr>
            <w:noProof/>
            <w:webHidden/>
          </w:rPr>
        </w:r>
        <w:r>
          <w:rPr>
            <w:noProof/>
            <w:webHidden/>
          </w:rPr>
          <w:fldChar w:fldCharType="separate"/>
        </w:r>
        <w:r>
          <w:rPr>
            <w:noProof/>
            <w:webHidden/>
          </w:rPr>
          <w:t>5-28</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4" w:history="1">
        <w:r w:rsidRPr="00237B85">
          <w:rPr>
            <w:rStyle w:val="Hyperlink"/>
            <w:noProof/>
          </w:rPr>
          <w:t>5.1.2.4</w:t>
        </w:r>
        <w:r>
          <w:rPr>
            <w:rFonts w:asciiTheme="minorHAnsi" w:eastAsiaTheme="minorEastAsia" w:hAnsiTheme="minorHAnsi" w:cstheme="minorBidi"/>
            <w:noProof/>
            <w:szCs w:val="22"/>
          </w:rPr>
          <w:tab/>
        </w:r>
        <w:r w:rsidRPr="00237B85">
          <w:rPr>
            <w:rStyle w:val="Hyperlink"/>
            <w:noProof/>
          </w:rPr>
          <w:t>Bus Operating Savings</w:t>
        </w:r>
        <w:r>
          <w:rPr>
            <w:noProof/>
            <w:webHidden/>
          </w:rPr>
          <w:tab/>
        </w:r>
        <w:r>
          <w:rPr>
            <w:noProof/>
            <w:webHidden/>
          </w:rPr>
          <w:fldChar w:fldCharType="begin"/>
        </w:r>
        <w:r>
          <w:rPr>
            <w:noProof/>
            <w:webHidden/>
          </w:rPr>
          <w:instrText xml:space="preserve"> PAGEREF _Toc448780364 \h </w:instrText>
        </w:r>
        <w:r>
          <w:rPr>
            <w:noProof/>
            <w:webHidden/>
          </w:rPr>
        </w:r>
        <w:r>
          <w:rPr>
            <w:noProof/>
            <w:webHidden/>
          </w:rPr>
          <w:fldChar w:fldCharType="separate"/>
        </w:r>
        <w:r>
          <w:rPr>
            <w:noProof/>
            <w:webHidden/>
          </w:rPr>
          <w:t>5-29</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65" w:history="1">
        <w:r w:rsidRPr="00237B85">
          <w:rPr>
            <w:rStyle w:val="Hyperlink"/>
            <w:noProof/>
          </w:rPr>
          <w:t>5.1.3</w:t>
        </w:r>
        <w:r>
          <w:rPr>
            <w:rFonts w:asciiTheme="minorHAnsi" w:eastAsiaTheme="minorEastAsia" w:hAnsiTheme="minorHAnsi" w:cstheme="minorBidi"/>
            <w:noProof/>
            <w:szCs w:val="22"/>
          </w:rPr>
          <w:tab/>
        </w:r>
        <w:r w:rsidRPr="00237B85">
          <w:rPr>
            <w:rStyle w:val="Hyperlink"/>
            <w:noProof/>
          </w:rPr>
          <w:t>Safety</w:t>
        </w:r>
        <w:r>
          <w:rPr>
            <w:noProof/>
            <w:webHidden/>
          </w:rPr>
          <w:tab/>
        </w:r>
        <w:r>
          <w:rPr>
            <w:noProof/>
            <w:webHidden/>
          </w:rPr>
          <w:fldChar w:fldCharType="begin"/>
        </w:r>
        <w:r>
          <w:rPr>
            <w:noProof/>
            <w:webHidden/>
          </w:rPr>
          <w:instrText xml:space="preserve"> PAGEREF _Toc448780365 \h </w:instrText>
        </w:r>
        <w:r>
          <w:rPr>
            <w:noProof/>
            <w:webHidden/>
          </w:rPr>
        </w:r>
        <w:r>
          <w:rPr>
            <w:noProof/>
            <w:webHidden/>
          </w:rPr>
          <w:fldChar w:fldCharType="separate"/>
        </w:r>
        <w:r>
          <w:rPr>
            <w:noProof/>
            <w:webHidden/>
          </w:rPr>
          <w:t>5-29</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66" w:history="1">
        <w:r w:rsidRPr="00237B85">
          <w:rPr>
            <w:rStyle w:val="Hyperlink"/>
            <w:noProof/>
          </w:rPr>
          <w:t>5.1.4</w:t>
        </w:r>
        <w:r>
          <w:rPr>
            <w:rFonts w:asciiTheme="minorHAnsi" w:eastAsiaTheme="minorEastAsia" w:hAnsiTheme="minorHAnsi" w:cstheme="minorBidi"/>
            <w:noProof/>
            <w:szCs w:val="22"/>
          </w:rPr>
          <w:tab/>
        </w:r>
        <w:r w:rsidRPr="00237B85">
          <w:rPr>
            <w:rStyle w:val="Hyperlink"/>
            <w:noProof/>
          </w:rPr>
          <w:t>Environmental Sustainability</w:t>
        </w:r>
        <w:r>
          <w:rPr>
            <w:noProof/>
            <w:webHidden/>
          </w:rPr>
          <w:tab/>
        </w:r>
        <w:r>
          <w:rPr>
            <w:noProof/>
            <w:webHidden/>
          </w:rPr>
          <w:fldChar w:fldCharType="begin"/>
        </w:r>
        <w:r>
          <w:rPr>
            <w:noProof/>
            <w:webHidden/>
          </w:rPr>
          <w:instrText xml:space="preserve"> PAGEREF _Toc448780366 \h </w:instrText>
        </w:r>
        <w:r>
          <w:rPr>
            <w:noProof/>
            <w:webHidden/>
          </w:rPr>
        </w:r>
        <w:r>
          <w:rPr>
            <w:noProof/>
            <w:webHidden/>
          </w:rPr>
          <w:fldChar w:fldCharType="separate"/>
        </w:r>
        <w:r>
          <w:rPr>
            <w:noProof/>
            <w:webHidden/>
          </w:rPr>
          <w:t>5-30</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7" w:history="1">
        <w:r w:rsidRPr="00237B85">
          <w:rPr>
            <w:rStyle w:val="Hyperlink"/>
            <w:noProof/>
          </w:rPr>
          <w:t>5.1.4.1</w:t>
        </w:r>
        <w:r>
          <w:rPr>
            <w:rFonts w:asciiTheme="minorHAnsi" w:eastAsiaTheme="minorEastAsia" w:hAnsiTheme="minorHAnsi" w:cstheme="minorBidi"/>
            <w:noProof/>
            <w:szCs w:val="22"/>
          </w:rPr>
          <w:tab/>
        </w:r>
        <w:r w:rsidRPr="00237B85">
          <w:rPr>
            <w:rStyle w:val="Hyperlink"/>
            <w:noProof/>
          </w:rPr>
          <w:t>Emissions Savings from Reduced Operating Hours</w:t>
        </w:r>
        <w:r>
          <w:rPr>
            <w:noProof/>
            <w:webHidden/>
          </w:rPr>
          <w:tab/>
        </w:r>
        <w:r>
          <w:rPr>
            <w:noProof/>
            <w:webHidden/>
          </w:rPr>
          <w:fldChar w:fldCharType="begin"/>
        </w:r>
        <w:r>
          <w:rPr>
            <w:noProof/>
            <w:webHidden/>
          </w:rPr>
          <w:instrText xml:space="preserve"> PAGEREF _Toc448780367 \h </w:instrText>
        </w:r>
        <w:r>
          <w:rPr>
            <w:noProof/>
            <w:webHidden/>
          </w:rPr>
        </w:r>
        <w:r>
          <w:rPr>
            <w:noProof/>
            <w:webHidden/>
          </w:rPr>
          <w:fldChar w:fldCharType="separate"/>
        </w:r>
        <w:r>
          <w:rPr>
            <w:noProof/>
            <w:webHidden/>
          </w:rPr>
          <w:t>5-31</w:t>
        </w:r>
        <w:r>
          <w:rPr>
            <w:noProof/>
            <w:webHidden/>
          </w:rPr>
          <w:fldChar w:fldCharType="end"/>
        </w:r>
      </w:hyperlink>
    </w:p>
    <w:p w:rsidR="00FA4CC7" w:rsidRDefault="00FA4CC7">
      <w:pPr>
        <w:pStyle w:val="TOC4"/>
        <w:rPr>
          <w:rFonts w:asciiTheme="minorHAnsi" w:eastAsiaTheme="minorEastAsia" w:hAnsiTheme="minorHAnsi" w:cstheme="minorBidi"/>
          <w:noProof/>
          <w:szCs w:val="22"/>
        </w:rPr>
      </w:pPr>
      <w:hyperlink w:anchor="_Toc448780368" w:history="1">
        <w:r w:rsidRPr="00237B85">
          <w:rPr>
            <w:rStyle w:val="Hyperlink"/>
            <w:noProof/>
          </w:rPr>
          <w:t>5.1.4.2</w:t>
        </w:r>
        <w:r>
          <w:rPr>
            <w:rFonts w:asciiTheme="minorHAnsi" w:eastAsiaTheme="minorEastAsia" w:hAnsiTheme="minorHAnsi" w:cstheme="minorBidi"/>
            <w:noProof/>
            <w:szCs w:val="22"/>
          </w:rPr>
          <w:tab/>
        </w:r>
        <w:r w:rsidRPr="00237B85">
          <w:rPr>
            <w:rStyle w:val="Hyperlink"/>
            <w:noProof/>
          </w:rPr>
          <w:t>Emissions Savings from VMT Avoided</w:t>
        </w:r>
        <w:r>
          <w:rPr>
            <w:noProof/>
            <w:webHidden/>
          </w:rPr>
          <w:tab/>
        </w:r>
        <w:r>
          <w:rPr>
            <w:noProof/>
            <w:webHidden/>
          </w:rPr>
          <w:fldChar w:fldCharType="begin"/>
        </w:r>
        <w:r>
          <w:rPr>
            <w:noProof/>
            <w:webHidden/>
          </w:rPr>
          <w:instrText xml:space="preserve"> PAGEREF _Toc448780368 \h </w:instrText>
        </w:r>
        <w:r>
          <w:rPr>
            <w:noProof/>
            <w:webHidden/>
          </w:rPr>
        </w:r>
        <w:r>
          <w:rPr>
            <w:noProof/>
            <w:webHidden/>
          </w:rPr>
          <w:fldChar w:fldCharType="separate"/>
        </w:r>
        <w:r>
          <w:rPr>
            <w:noProof/>
            <w:webHidden/>
          </w:rPr>
          <w:t>5-31</w:t>
        </w:r>
        <w:r>
          <w:rPr>
            <w:noProof/>
            <w:webHidden/>
          </w:rPr>
          <w:fldChar w:fldCharType="end"/>
        </w:r>
      </w:hyperlink>
    </w:p>
    <w:p w:rsidR="00FA4CC7" w:rsidRDefault="00FA4CC7">
      <w:pPr>
        <w:pStyle w:val="TOC3"/>
        <w:rPr>
          <w:rFonts w:asciiTheme="minorHAnsi" w:eastAsiaTheme="minorEastAsia" w:hAnsiTheme="minorHAnsi" w:cstheme="minorBidi"/>
          <w:noProof/>
          <w:szCs w:val="22"/>
        </w:rPr>
      </w:pPr>
      <w:hyperlink w:anchor="_Toc448780369" w:history="1">
        <w:r w:rsidRPr="00237B85">
          <w:rPr>
            <w:rStyle w:val="Hyperlink"/>
            <w:noProof/>
          </w:rPr>
          <w:t>5.1.5</w:t>
        </w:r>
        <w:r>
          <w:rPr>
            <w:rFonts w:asciiTheme="minorHAnsi" w:eastAsiaTheme="minorEastAsia" w:hAnsiTheme="minorHAnsi" w:cstheme="minorBidi"/>
            <w:noProof/>
            <w:szCs w:val="22"/>
          </w:rPr>
          <w:tab/>
        </w:r>
        <w:r w:rsidRPr="00237B85">
          <w:rPr>
            <w:rStyle w:val="Hyperlink"/>
            <w:noProof/>
          </w:rPr>
          <w:t>State of Good Repair</w:t>
        </w:r>
        <w:r>
          <w:rPr>
            <w:noProof/>
            <w:webHidden/>
          </w:rPr>
          <w:tab/>
        </w:r>
        <w:r>
          <w:rPr>
            <w:noProof/>
            <w:webHidden/>
          </w:rPr>
          <w:fldChar w:fldCharType="begin"/>
        </w:r>
        <w:r>
          <w:rPr>
            <w:noProof/>
            <w:webHidden/>
          </w:rPr>
          <w:instrText xml:space="preserve"> PAGEREF _Toc448780369 \h </w:instrText>
        </w:r>
        <w:r>
          <w:rPr>
            <w:noProof/>
            <w:webHidden/>
          </w:rPr>
        </w:r>
        <w:r>
          <w:rPr>
            <w:noProof/>
            <w:webHidden/>
          </w:rPr>
          <w:fldChar w:fldCharType="separate"/>
        </w:r>
        <w:r>
          <w:rPr>
            <w:noProof/>
            <w:webHidden/>
          </w:rPr>
          <w:t>5-32</w:t>
        </w:r>
        <w:r>
          <w:rPr>
            <w:noProof/>
            <w:webHidden/>
          </w:rPr>
          <w:fldChar w:fldCharType="end"/>
        </w:r>
      </w:hyperlink>
    </w:p>
    <w:p w:rsidR="002B0734" w:rsidRDefault="00383D01" w:rsidP="00EB1E96">
      <w:pPr>
        <w:pStyle w:val="TOC1"/>
        <w:sectPr w:rsidR="002B0734" w:rsidSect="002865F6">
          <w:headerReference w:type="even" r:id="rId13"/>
          <w:headerReference w:type="default" r:id="rId14"/>
          <w:footerReference w:type="default" r:id="rId15"/>
          <w:headerReference w:type="first" r:id="rId16"/>
          <w:pgSz w:w="12240" w:h="15840" w:code="1"/>
          <w:pgMar w:top="180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272"/>
        </w:sectPr>
      </w:pPr>
      <w:r>
        <w:fldChar w:fldCharType="end"/>
      </w:r>
    </w:p>
    <w:p w:rsidR="00E50829" w:rsidRDefault="000018D7" w:rsidP="00651623">
      <w:pPr>
        <w:pStyle w:val="Heading1"/>
      </w:pPr>
      <w:bookmarkStart w:id="0" w:name="_Toc448162991"/>
      <w:bookmarkStart w:id="1" w:name="_Toc448163311"/>
      <w:bookmarkStart w:id="2" w:name="_Toc448162994"/>
      <w:bookmarkStart w:id="3" w:name="_Toc448163314"/>
      <w:bookmarkStart w:id="4" w:name="_Toc448162997"/>
      <w:bookmarkStart w:id="5" w:name="_Toc448163317"/>
      <w:bookmarkStart w:id="6" w:name="_Toc448163000"/>
      <w:bookmarkStart w:id="7" w:name="_Toc448163320"/>
      <w:bookmarkStart w:id="8" w:name="_Toc448163003"/>
      <w:bookmarkStart w:id="9" w:name="_Toc448163323"/>
      <w:bookmarkStart w:id="10" w:name="_Toc448163006"/>
      <w:bookmarkStart w:id="11" w:name="_Toc448163326"/>
      <w:bookmarkStart w:id="12" w:name="_Toc448163009"/>
      <w:bookmarkStart w:id="13" w:name="_Toc448163329"/>
      <w:bookmarkStart w:id="14" w:name="_Toc448163012"/>
      <w:bookmarkStart w:id="15" w:name="_Toc448163332"/>
      <w:bookmarkStart w:id="16" w:name="_Toc448163015"/>
      <w:bookmarkStart w:id="17" w:name="_Toc448163335"/>
      <w:bookmarkStart w:id="18" w:name="_Toc448163018"/>
      <w:bookmarkStart w:id="19" w:name="_Toc448163338"/>
      <w:bookmarkStart w:id="20" w:name="_Toc448163021"/>
      <w:bookmarkStart w:id="21" w:name="_Toc448163341"/>
      <w:bookmarkStart w:id="22" w:name="_Toc448163024"/>
      <w:bookmarkStart w:id="23" w:name="_Toc448163344"/>
      <w:bookmarkStart w:id="24" w:name="_Toc448163027"/>
      <w:bookmarkStart w:id="25" w:name="_Toc448163347"/>
      <w:bookmarkStart w:id="26" w:name="_Toc448163030"/>
      <w:bookmarkStart w:id="27" w:name="_Toc448163350"/>
      <w:bookmarkStart w:id="28" w:name="_Toc448163033"/>
      <w:bookmarkStart w:id="29" w:name="_Toc448163353"/>
      <w:bookmarkStart w:id="30" w:name="_Toc448163036"/>
      <w:bookmarkStart w:id="31" w:name="_Toc448163356"/>
      <w:bookmarkStart w:id="32" w:name="_Toc448163039"/>
      <w:bookmarkStart w:id="33" w:name="_Toc448163359"/>
      <w:bookmarkStart w:id="34" w:name="_Toc448163042"/>
      <w:bookmarkStart w:id="35" w:name="_Toc448163362"/>
      <w:bookmarkStart w:id="36" w:name="_Toc448163045"/>
      <w:bookmarkStart w:id="37" w:name="_Toc448163365"/>
      <w:bookmarkStart w:id="38" w:name="_Toc448163048"/>
      <w:bookmarkStart w:id="39" w:name="_Toc448163368"/>
      <w:bookmarkStart w:id="40" w:name="_Toc448163051"/>
      <w:bookmarkStart w:id="41" w:name="_Toc448163371"/>
      <w:bookmarkStart w:id="42" w:name="_Toc448163054"/>
      <w:bookmarkStart w:id="43" w:name="_Toc448163374"/>
      <w:bookmarkStart w:id="44" w:name="_Toc448163057"/>
      <w:bookmarkStart w:id="45" w:name="_Toc448163377"/>
      <w:bookmarkStart w:id="46" w:name="_Toc448163060"/>
      <w:bookmarkStart w:id="47" w:name="_Toc448163380"/>
      <w:bookmarkStart w:id="48" w:name="_Toc448163063"/>
      <w:bookmarkStart w:id="49" w:name="_Toc448163383"/>
      <w:bookmarkStart w:id="50" w:name="_Toc448163066"/>
      <w:bookmarkStart w:id="51" w:name="_Toc448163386"/>
      <w:bookmarkStart w:id="52" w:name="_Toc448163069"/>
      <w:bookmarkStart w:id="53" w:name="_Toc448163389"/>
      <w:bookmarkStart w:id="54" w:name="_Toc448163072"/>
      <w:bookmarkStart w:id="55" w:name="_Toc448163392"/>
      <w:bookmarkStart w:id="56" w:name="_Toc448163075"/>
      <w:bookmarkStart w:id="57" w:name="_Toc448163395"/>
      <w:bookmarkStart w:id="58" w:name="_Toc448163078"/>
      <w:bookmarkStart w:id="59" w:name="_Toc448163398"/>
      <w:bookmarkStart w:id="60" w:name="_Toc448163081"/>
      <w:bookmarkStart w:id="61" w:name="_Toc448163401"/>
      <w:bookmarkStart w:id="62" w:name="_Toc448163084"/>
      <w:bookmarkStart w:id="63" w:name="_Toc448163404"/>
      <w:bookmarkStart w:id="64" w:name="_Toc448163087"/>
      <w:bookmarkStart w:id="65" w:name="_Toc448163407"/>
      <w:bookmarkStart w:id="66" w:name="_Toc448163090"/>
      <w:bookmarkStart w:id="67" w:name="_Toc448163410"/>
      <w:bookmarkStart w:id="68" w:name="_Toc448163091"/>
      <w:bookmarkStart w:id="69" w:name="_Toc448163411"/>
      <w:bookmarkStart w:id="70" w:name="_Toc448163092"/>
      <w:bookmarkStart w:id="71" w:name="_Toc448163412"/>
      <w:bookmarkStart w:id="72" w:name="_Toc448163093"/>
      <w:bookmarkStart w:id="73" w:name="_Toc448163413"/>
      <w:bookmarkStart w:id="74" w:name="_Toc4487802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Introduction</w:t>
      </w:r>
      <w:bookmarkEnd w:id="74"/>
    </w:p>
    <w:p w:rsidR="00AE7798" w:rsidRPr="00323D5D" w:rsidRDefault="00AE7798" w:rsidP="00651623">
      <w:pPr>
        <w:pStyle w:val="BodyText"/>
      </w:pPr>
      <w:r w:rsidRPr="00323D5D">
        <w:t xml:space="preserve">A benefit-cost assessment (BCA) was conducted for the </w:t>
      </w:r>
      <w:r w:rsidR="003B3E40">
        <w:t xml:space="preserve">North I-25 </w:t>
      </w:r>
      <w:r w:rsidR="001A6F1C">
        <w:t xml:space="preserve">Widening </w:t>
      </w:r>
      <w:r w:rsidR="003B3E40">
        <w:t xml:space="preserve">Project </w:t>
      </w:r>
      <w:r w:rsidRPr="00323D5D">
        <w:t>(I-25 Project) for submission to the U.S. Department of Transportation (DOT) to support the discretionary grant application of the</w:t>
      </w:r>
      <w:r w:rsidR="001A6F1C">
        <w:t xml:space="preserve"> Colorado Department of Transportation</w:t>
      </w:r>
      <w:r w:rsidRPr="00323D5D">
        <w:t xml:space="preserve"> for the 2016 </w:t>
      </w:r>
      <w:r w:rsidR="001A6F1C">
        <w:t xml:space="preserve">TIGER </w:t>
      </w:r>
      <w:r w:rsidRPr="00323D5D">
        <w:t xml:space="preserve">program.  This analysis was conducted in accordance with the DOT’s </w:t>
      </w:r>
      <w:r w:rsidR="0097726A">
        <w:t xml:space="preserve">2016 </w:t>
      </w:r>
      <w:r w:rsidRPr="00323D5D">
        <w:t>supplement to</w:t>
      </w:r>
      <w:r w:rsidR="00280BE6" w:rsidRPr="00323D5D">
        <w:t xml:space="preserve"> its </w:t>
      </w:r>
      <w:r w:rsidR="00FC2DCA" w:rsidRPr="00323D5D">
        <w:rPr>
          <w:i/>
        </w:rPr>
        <w:t>201</w:t>
      </w:r>
      <w:r w:rsidR="00FC2DCA">
        <w:rPr>
          <w:i/>
        </w:rPr>
        <w:t>4</w:t>
      </w:r>
      <w:r w:rsidR="00FC2DCA" w:rsidRPr="00323D5D">
        <w:rPr>
          <w:i/>
        </w:rPr>
        <w:t xml:space="preserve"> </w:t>
      </w:r>
      <w:r w:rsidR="00280BE6" w:rsidRPr="00323D5D">
        <w:rPr>
          <w:i/>
        </w:rPr>
        <w:t>Benefit-Cost Analysis Guidance for Tiger Grant Applicants</w:t>
      </w:r>
      <w:r w:rsidRPr="00323D5D">
        <w:t xml:space="preserve"> for a 2</w:t>
      </w:r>
      <w:r w:rsidR="00FC4F48" w:rsidRPr="00323D5D">
        <w:t>3</w:t>
      </w:r>
      <w:r w:rsidRPr="00323D5D">
        <w:t xml:space="preserve"> year assessment period beginning with capital outlays in 201</w:t>
      </w:r>
      <w:r w:rsidR="00FC4F48" w:rsidRPr="00323D5D">
        <w:t>8</w:t>
      </w:r>
      <w:r w:rsidRPr="00323D5D">
        <w:t xml:space="preserve"> through to 20</w:t>
      </w:r>
      <w:r w:rsidR="00FC4F48" w:rsidRPr="00323D5D">
        <w:t>20</w:t>
      </w:r>
      <w:r w:rsidRPr="00323D5D">
        <w:t xml:space="preserve"> and operations from 202</w:t>
      </w:r>
      <w:r w:rsidR="00FC4F48" w:rsidRPr="00323D5D">
        <w:t>1</w:t>
      </w:r>
      <w:r w:rsidRPr="00323D5D">
        <w:t xml:space="preserve"> to 2040.     </w:t>
      </w:r>
    </w:p>
    <w:p w:rsidR="00FC4F48" w:rsidRPr="00323D5D" w:rsidRDefault="00280BE6" w:rsidP="00651623">
      <w:pPr>
        <w:pStyle w:val="BodyText"/>
      </w:pPr>
      <w:r w:rsidRPr="00323D5D">
        <w:t xml:space="preserve">The </w:t>
      </w:r>
      <w:r w:rsidR="003B3E40">
        <w:t>I-25 Project</w:t>
      </w:r>
      <w:r w:rsidRPr="00323D5D">
        <w:t xml:space="preserve"> is to take place along a 1</w:t>
      </w:r>
      <w:r w:rsidR="00FC4F48" w:rsidRPr="00323D5D">
        <w:t>4</w:t>
      </w:r>
      <w:r w:rsidRPr="00323D5D">
        <w:t xml:space="preserve"> mile corridor</w:t>
      </w:r>
      <w:r w:rsidR="004D0BB1" w:rsidRPr="00323D5D">
        <w:t xml:space="preserve"> (assessment corridor)</w:t>
      </w:r>
      <w:r w:rsidRPr="00323D5D">
        <w:t xml:space="preserve"> of Interstate 25</w:t>
      </w:r>
      <w:r w:rsidR="00450016" w:rsidRPr="00323D5D">
        <w:t xml:space="preserve"> (I-25)</w:t>
      </w:r>
      <w:r w:rsidRPr="00323D5D">
        <w:t xml:space="preserve"> which runs north to south in Weld and Larimer Counties in northern Colorado.  </w:t>
      </w:r>
      <w:r w:rsidR="00450016" w:rsidRPr="00323D5D">
        <w:t>I-</w:t>
      </w:r>
      <w:r w:rsidRPr="00323D5D">
        <w:t>25</w:t>
      </w:r>
      <w:r w:rsidR="00450016" w:rsidRPr="00323D5D">
        <w:t xml:space="preserve">’s local, regional and national importance is multifaceted. It is the only major highway connecting Denver and the Fort Collins/Region, represents </w:t>
      </w:r>
      <w:r w:rsidR="005302DD" w:rsidRPr="00323D5D">
        <w:t xml:space="preserve">both a designated nuclear route and </w:t>
      </w:r>
      <w:r w:rsidR="00450016" w:rsidRPr="00323D5D">
        <w:t>a major evacuation route. I-25 comprises the majority of</w:t>
      </w:r>
      <w:r w:rsidRPr="00323D5D">
        <w:t xml:space="preserve"> the </w:t>
      </w:r>
      <w:proofErr w:type="spellStart"/>
      <w:r w:rsidRPr="00323D5D">
        <w:t>CanAm</w:t>
      </w:r>
      <w:proofErr w:type="spellEnd"/>
      <w:r w:rsidRPr="00323D5D">
        <w:t xml:space="preserve"> Highway</w:t>
      </w:r>
      <w:r w:rsidR="00450016" w:rsidRPr="00323D5D">
        <w:t>, one of the major north-south freight corridors in the central United States</w:t>
      </w:r>
      <w:r w:rsidR="00FC4F48" w:rsidRPr="00323D5D">
        <w:t xml:space="preserve"> which allows for the movement of goods to and from Canada and Mexico into the United States</w:t>
      </w:r>
      <w:r w:rsidR="00450016" w:rsidRPr="00323D5D">
        <w:t xml:space="preserve">.  </w:t>
      </w:r>
    </w:p>
    <w:p w:rsidR="008E3D2A" w:rsidRPr="00323D5D" w:rsidRDefault="00FC4F48" w:rsidP="008E3D2A">
      <w:pPr>
        <w:pStyle w:val="BodyText"/>
      </w:pPr>
      <w:r w:rsidRPr="00323D5D">
        <w:t>Currently, I-25 experiences significant congestion during several weekday periods be</w:t>
      </w:r>
      <w:r w:rsidR="00CD03A1" w:rsidRPr="00323D5D">
        <w:t>tween Fort Collins and Loveland.  During the morning peak and shoulder periods, the majority of northbound traffic in the assessment corridor experiences levels of service (LOS) ratings of E or F; during the evening peak and shoulder periods, both direction</w:t>
      </w:r>
      <w:r w:rsidR="004D0BB1" w:rsidRPr="00323D5D">
        <w:t>s</w:t>
      </w:r>
      <w:r w:rsidR="00CD03A1" w:rsidRPr="00323D5D">
        <w:t xml:space="preserve"> of travel experience LOS ratings of </w:t>
      </w:r>
      <w:r w:rsidR="004D0BB1" w:rsidRPr="00323D5D">
        <w:t xml:space="preserve">D, </w:t>
      </w:r>
      <w:r w:rsidR="00CD03A1" w:rsidRPr="00323D5D">
        <w:t xml:space="preserve">E or F </w:t>
      </w:r>
      <w:r w:rsidR="004D0BB1" w:rsidRPr="00323D5D">
        <w:t xml:space="preserve">throughout the entirety of the assessment corridor.  This congestion leads </w:t>
      </w:r>
      <w:r w:rsidRPr="00323D5D">
        <w:t xml:space="preserve">to </w:t>
      </w:r>
      <w:r w:rsidR="004D0BB1" w:rsidRPr="00323D5D">
        <w:t xml:space="preserve">significant </w:t>
      </w:r>
      <w:r w:rsidRPr="00323D5D">
        <w:t xml:space="preserve">delays for transit users and the drivers of private and commercial vehicles. </w:t>
      </w:r>
      <w:r w:rsidR="008E3D2A" w:rsidRPr="00323D5D">
        <w:t xml:space="preserve">Without the </w:t>
      </w:r>
      <w:r w:rsidR="008E3D2A">
        <w:t>I-25 Project</w:t>
      </w:r>
      <w:r w:rsidR="008E3D2A" w:rsidRPr="00323D5D">
        <w:t>, forecast growth in vehicle</w:t>
      </w:r>
      <w:r w:rsidR="008E3D2A">
        <w:t xml:space="preserve">s </w:t>
      </w:r>
      <w:r w:rsidR="008E3D2A" w:rsidRPr="00323D5D">
        <w:t xml:space="preserve">will further exacerbate the already congested and unsatisfactory traffic conditions in the assessment corridor.  </w:t>
      </w:r>
    </w:p>
    <w:p w:rsidR="008E3D2A" w:rsidRDefault="008E3D2A" w:rsidP="00651623">
      <w:pPr>
        <w:pStyle w:val="BodyText"/>
      </w:pPr>
      <w:r>
        <w:t>To address the congestion problems prevalent throughout the assessment corridor, t</w:t>
      </w:r>
      <w:r w:rsidR="005302DD" w:rsidRPr="00323D5D">
        <w:t xml:space="preserve">he </w:t>
      </w:r>
      <w:r w:rsidR="003B3E40">
        <w:t>I-25 Project</w:t>
      </w:r>
      <w:r w:rsidR="005302DD" w:rsidRPr="00323D5D">
        <w:t xml:space="preserve"> </w:t>
      </w:r>
      <w:r>
        <w:t xml:space="preserve">proposes a number of works which would aim to improve efficiency, safety and resiliency across multiple modes of travel.  These works include: </w:t>
      </w:r>
    </w:p>
    <w:p w:rsidR="008E3D2A" w:rsidRDefault="008E3D2A" w:rsidP="008E3D2A">
      <w:pPr>
        <w:pStyle w:val="BodyText"/>
        <w:numPr>
          <w:ilvl w:val="0"/>
          <w:numId w:val="19"/>
        </w:numPr>
      </w:pPr>
      <w:r>
        <w:t>T</w:t>
      </w:r>
      <w:r w:rsidR="005302DD" w:rsidRPr="00323D5D">
        <w:t xml:space="preserve">he </w:t>
      </w:r>
      <w:r w:rsidRPr="00323D5D">
        <w:t xml:space="preserve">rehabilitation </w:t>
      </w:r>
      <w:r>
        <w:t xml:space="preserve">or reconstruction </w:t>
      </w:r>
      <w:r w:rsidRPr="00323D5D">
        <w:t xml:space="preserve">of the existing two general purpose lanes </w:t>
      </w:r>
      <w:r>
        <w:t xml:space="preserve">and </w:t>
      </w:r>
      <w:r w:rsidR="005302DD" w:rsidRPr="00323D5D">
        <w:t>introduction of a separated managed lane in each</w:t>
      </w:r>
      <w:r>
        <w:t xml:space="preserve"> direction along the entirety of the assessment corridor;</w:t>
      </w:r>
    </w:p>
    <w:p w:rsidR="001A6F1C" w:rsidRDefault="008E3D2A" w:rsidP="008E3D2A">
      <w:pPr>
        <w:pStyle w:val="BodyText"/>
        <w:numPr>
          <w:ilvl w:val="0"/>
          <w:numId w:val="19"/>
        </w:numPr>
      </w:pPr>
      <w:r>
        <w:t>T</w:t>
      </w:r>
      <w:r w:rsidR="005302DD" w:rsidRPr="00323D5D">
        <w:t>he widening or replacement of four sets of bridges</w:t>
      </w:r>
      <w:r>
        <w:t xml:space="preserve"> to accommodate the additio</w:t>
      </w:r>
      <w:r w:rsidR="007C3C2B">
        <w:t>n of managed lanes and the raising of specific bridges to improve their resiliency in the face of future flood events;</w:t>
      </w:r>
    </w:p>
    <w:p w:rsidR="001A6F1C" w:rsidRDefault="001A6F1C" w:rsidP="008E3D2A">
      <w:pPr>
        <w:pStyle w:val="BodyText"/>
        <w:numPr>
          <w:ilvl w:val="0"/>
          <w:numId w:val="19"/>
        </w:numPr>
      </w:pPr>
      <w:r>
        <w:t xml:space="preserve">The development of a Park and Ride facility </w:t>
      </w:r>
      <w:r w:rsidR="008E3D2A">
        <w:t xml:space="preserve">and bus slips </w:t>
      </w:r>
      <w:r>
        <w:t>near the US34/I-25 which will generate significant time savings for transit users;</w:t>
      </w:r>
    </w:p>
    <w:p w:rsidR="001A6F1C" w:rsidRDefault="001A6F1C" w:rsidP="008E3D2A">
      <w:pPr>
        <w:pStyle w:val="BodyText"/>
        <w:numPr>
          <w:ilvl w:val="0"/>
          <w:numId w:val="19"/>
        </w:numPr>
      </w:pPr>
      <w:r>
        <w:t xml:space="preserve">The </w:t>
      </w:r>
      <w:r w:rsidR="008E3D2A">
        <w:t xml:space="preserve">construction </w:t>
      </w:r>
      <w:r>
        <w:t xml:space="preserve">of the Kendall Parkway Underpass </w:t>
      </w:r>
      <w:r w:rsidR="008E3D2A">
        <w:t xml:space="preserve">(in conjunction with the replacement of the Union Pacific Railroad Bridge) at </w:t>
      </w:r>
      <w:proofErr w:type="spellStart"/>
      <w:r w:rsidR="008E3D2A">
        <w:t>Centerra</w:t>
      </w:r>
      <w:proofErr w:type="spellEnd"/>
      <w:r w:rsidR="008E3D2A">
        <w:t xml:space="preserve"> </w:t>
      </w:r>
      <w:r>
        <w:t xml:space="preserve">which </w:t>
      </w:r>
      <w:r w:rsidR="008E3D2A">
        <w:t xml:space="preserve">will alleviate congestion on US34 and facilitate more efficient multimodal access to the </w:t>
      </w:r>
      <w:r>
        <w:t>Park and Ride</w:t>
      </w:r>
      <w:r w:rsidR="008E3D2A">
        <w:t xml:space="preserve"> facility; and </w:t>
      </w:r>
    </w:p>
    <w:p w:rsidR="008E3D2A" w:rsidRDefault="008E3D2A" w:rsidP="008E3D2A">
      <w:pPr>
        <w:pStyle w:val="BodyText"/>
        <w:numPr>
          <w:ilvl w:val="0"/>
          <w:numId w:val="19"/>
        </w:numPr>
      </w:pPr>
      <w:r>
        <w:t>The construction of the a</w:t>
      </w:r>
      <w:r w:rsidR="007C3C2B">
        <w:t>n approximately</w:t>
      </w:r>
      <w:r>
        <w:t xml:space="preserve"> one mile segment connecting the Fort Collins and Poudre Bike Trail</w:t>
      </w:r>
      <w:r w:rsidR="007C3C2B">
        <w:t>s</w:t>
      </w:r>
      <w:r>
        <w:t xml:space="preserve">, thus linking up over 40 miles of trail that allow for bikers to seamlessly ride from Fort Collins to Greeley.  This trail segment’s construction is enabled by the reconstruction and raising of the deck height of the Cache Le </w:t>
      </w:r>
      <w:proofErr w:type="spellStart"/>
      <w:r>
        <w:t>Poudres</w:t>
      </w:r>
      <w:proofErr w:type="spellEnd"/>
      <w:r>
        <w:t xml:space="preserve"> bridges. </w:t>
      </w:r>
    </w:p>
    <w:p w:rsidR="0049339C" w:rsidRDefault="005302DD" w:rsidP="00651623">
      <w:pPr>
        <w:pStyle w:val="BodyText"/>
      </w:pPr>
      <w:r w:rsidRPr="00323D5D">
        <w:lastRenderedPageBreak/>
        <w:t xml:space="preserve">The realization of </w:t>
      </w:r>
      <w:r w:rsidR="003B3E40">
        <w:t>I-25 Project</w:t>
      </w:r>
      <w:r w:rsidRPr="00323D5D">
        <w:t xml:space="preserve"> will deliver a variety</w:t>
      </w:r>
      <w:r w:rsidR="00FC4F48" w:rsidRPr="00323D5D">
        <w:t xml:space="preserve"> of benefits, most notably </w:t>
      </w:r>
      <w:r w:rsidRPr="00323D5D">
        <w:t>reduction</w:t>
      </w:r>
      <w:r w:rsidR="00FC4F48" w:rsidRPr="00323D5D">
        <w:t>s</w:t>
      </w:r>
      <w:r w:rsidRPr="00323D5D">
        <w:t xml:space="preserve"> in</w:t>
      </w:r>
      <w:r w:rsidR="00FC4F48" w:rsidRPr="00323D5D">
        <w:t xml:space="preserve"> travel times through the corridor during weekdays</w:t>
      </w:r>
      <w:r w:rsidR="004929C1">
        <w:t xml:space="preserve">, reductions in vehicle accidents and </w:t>
      </w:r>
      <w:r w:rsidRPr="00323D5D">
        <w:t>improvement</w:t>
      </w:r>
      <w:r w:rsidR="004929C1">
        <w:t>s</w:t>
      </w:r>
      <w:r w:rsidRPr="00323D5D">
        <w:t xml:space="preserve"> in freight efficiency.  </w:t>
      </w:r>
    </w:p>
    <w:p w:rsidR="0049339C" w:rsidRDefault="00F70D29" w:rsidP="00651623">
      <w:pPr>
        <w:pStyle w:val="BodyText"/>
      </w:pPr>
      <w:r>
        <w:t xml:space="preserve">Notable impacts that the </w:t>
      </w:r>
      <w:r w:rsidR="003B3E40">
        <w:t>I-25 Project</w:t>
      </w:r>
      <w:r>
        <w:t xml:space="preserve"> will deliver </w:t>
      </w:r>
      <w:r w:rsidR="0022431C">
        <w:t xml:space="preserve">benefits for long term outcomes criteria </w:t>
      </w:r>
      <w:r>
        <w:t xml:space="preserve">include the following summarized in Table 1.  </w:t>
      </w:r>
    </w:p>
    <w:p w:rsidR="0016458A" w:rsidRPr="0016458A" w:rsidRDefault="0016458A" w:rsidP="0016458A">
      <w:pPr>
        <w:pStyle w:val="BodyText"/>
        <w:spacing w:after="0"/>
        <w:jc w:val="center"/>
        <w:rPr>
          <w:b/>
          <w:sz w:val="18"/>
          <w:szCs w:val="18"/>
        </w:rPr>
      </w:pPr>
      <w:r w:rsidRPr="0016458A">
        <w:rPr>
          <w:b/>
          <w:sz w:val="18"/>
          <w:szCs w:val="18"/>
        </w:rPr>
        <w:t xml:space="preserve">Table 1: </w:t>
      </w:r>
      <w:r w:rsidR="00FC1390">
        <w:rPr>
          <w:b/>
          <w:sz w:val="18"/>
          <w:szCs w:val="18"/>
        </w:rPr>
        <w:t>Key Benefits Delivered by Long Term Outcomes</w:t>
      </w:r>
      <w:r w:rsidRPr="0016458A">
        <w:rPr>
          <w:b/>
          <w:sz w:val="18"/>
          <w:szCs w:val="18"/>
        </w:rPr>
        <w:t xml:space="preserve"> (2021 – 2040)</w:t>
      </w:r>
    </w:p>
    <w:p w:rsidR="0016458A" w:rsidRPr="0016458A" w:rsidRDefault="0016458A" w:rsidP="0016458A">
      <w:pPr>
        <w:pStyle w:val="BodyText"/>
        <w:spacing w:after="0"/>
        <w:jc w:val="center"/>
        <w:rPr>
          <w:b/>
          <w:sz w:val="18"/>
          <w:szCs w:val="18"/>
        </w:rPr>
      </w:pPr>
    </w:p>
    <w:tbl>
      <w:tblPr>
        <w:tblW w:w="8640" w:type="dxa"/>
        <w:tblInd w:w="93" w:type="dxa"/>
        <w:tblLook w:val="04A0" w:firstRow="1" w:lastRow="0" w:firstColumn="1" w:lastColumn="0" w:noHBand="0" w:noVBand="1"/>
      </w:tblPr>
      <w:tblGrid>
        <w:gridCol w:w="4200"/>
        <w:gridCol w:w="2220"/>
        <w:gridCol w:w="2220"/>
      </w:tblGrid>
      <w:tr w:rsidR="00FC1390" w:rsidRPr="00FC1390" w:rsidTr="00FC1390">
        <w:trPr>
          <w:trHeight w:val="288"/>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b/>
                <w:bCs/>
                <w:color w:val="000000"/>
                <w:szCs w:val="22"/>
              </w:rPr>
            </w:pPr>
            <w:r w:rsidRPr="00FC1390">
              <w:rPr>
                <w:b/>
                <w:bCs/>
                <w:color w:val="000000"/>
                <w:szCs w:val="22"/>
              </w:rPr>
              <w:t> </w:t>
            </w:r>
          </w:p>
        </w:tc>
        <w:tc>
          <w:tcPr>
            <w:tcW w:w="22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390" w:rsidRPr="00FC1390" w:rsidRDefault="00FC1390" w:rsidP="00FC1390">
            <w:pPr>
              <w:spacing w:line="240" w:lineRule="auto"/>
              <w:jc w:val="center"/>
              <w:rPr>
                <w:b/>
                <w:bCs/>
                <w:color w:val="000000"/>
                <w:szCs w:val="22"/>
              </w:rPr>
            </w:pPr>
            <w:r w:rsidRPr="00FC1390">
              <w:rPr>
                <w:b/>
                <w:bCs/>
                <w:color w:val="000000"/>
                <w:szCs w:val="22"/>
              </w:rPr>
              <w:t>7% Discount ($2016)</w:t>
            </w:r>
          </w:p>
        </w:tc>
        <w:tc>
          <w:tcPr>
            <w:tcW w:w="22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390" w:rsidRPr="00FC1390" w:rsidRDefault="00FC1390" w:rsidP="00FC1390">
            <w:pPr>
              <w:spacing w:line="240" w:lineRule="auto"/>
              <w:jc w:val="center"/>
              <w:rPr>
                <w:b/>
                <w:bCs/>
                <w:color w:val="000000"/>
                <w:szCs w:val="22"/>
              </w:rPr>
            </w:pPr>
            <w:r w:rsidRPr="00FC1390">
              <w:rPr>
                <w:b/>
                <w:bCs/>
                <w:color w:val="000000"/>
                <w:szCs w:val="22"/>
              </w:rPr>
              <w:t>3% Discount ($2016)</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C1390" w:rsidRPr="00FC1390" w:rsidRDefault="00FC1390" w:rsidP="00FC1390">
            <w:pPr>
              <w:spacing w:line="240" w:lineRule="auto"/>
              <w:rPr>
                <w:b/>
                <w:bCs/>
                <w:color w:val="000000"/>
                <w:szCs w:val="22"/>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C1390" w:rsidRPr="00FC1390" w:rsidRDefault="00FC1390" w:rsidP="00FC1390">
            <w:pPr>
              <w:spacing w:line="240" w:lineRule="auto"/>
              <w:rPr>
                <w:b/>
                <w:bCs/>
                <w:color w:val="000000"/>
                <w:szCs w:val="22"/>
              </w:rPr>
            </w:pPr>
          </w:p>
        </w:tc>
      </w:tr>
      <w:tr w:rsidR="00F14A70" w:rsidRPr="00FC1390" w:rsidTr="00F14A70">
        <w:trPr>
          <w:trHeight w:val="288"/>
        </w:trPr>
        <w:tc>
          <w:tcPr>
            <w:tcW w:w="8640" w:type="dxa"/>
            <w:gridSpan w:val="3"/>
            <w:tcBorders>
              <w:top w:val="nil"/>
              <w:left w:val="single" w:sz="4" w:space="0" w:color="auto"/>
              <w:bottom w:val="single" w:sz="4" w:space="0" w:color="auto"/>
              <w:right w:val="single" w:sz="4" w:space="0" w:color="auto"/>
            </w:tcBorders>
            <w:shd w:val="clear" w:color="auto" w:fill="auto"/>
            <w:noWrap/>
            <w:vAlign w:val="bottom"/>
          </w:tcPr>
          <w:p w:rsidR="00F14A70" w:rsidRPr="00FC1390" w:rsidRDefault="00F14A70" w:rsidP="00F14A70">
            <w:pPr>
              <w:spacing w:line="240" w:lineRule="auto"/>
              <w:jc w:val="center"/>
              <w:rPr>
                <w:b/>
                <w:bCs/>
                <w:color w:val="000000"/>
                <w:szCs w:val="22"/>
              </w:rPr>
            </w:pPr>
            <w:r>
              <w:rPr>
                <w:b/>
                <w:bCs/>
                <w:color w:val="000000"/>
                <w:szCs w:val="22"/>
              </w:rPr>
              <w:t>Economic Competitiveness Benefits</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Travel Time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124.9</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211.6</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Mode Shift Vehicle Operating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28.0</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47.7</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Bus Travel Time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5.5</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9.4</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Bus Operating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0.9</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1.5</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Inventory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0.0</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0.1</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Freight Operating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37.2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61.3</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Bike Mode Shift Vehicle Operating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2.1</w:t>
            </w:r>
          </w:p>
        </w:tc>
      </w:tr>
      <w:tr w:rsidR="00FC1390" w:rsidRPr="00FC1390" w:rsidTr="00FC1390">
        <w:trPr>
          <w:trHeight w:val="288"/>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b/>
                <w:bCs/>
                <w:color w:val="000000"/>
                <w:szCs w:val="22"/>
              </w:rPr>
            </w:pPr>
            <w:r w:rsidRPr="00FC1390">
              <w:rPr>
                <w:b/>
                <w:bCs/>
                <w:color w:val="000000"/>
                <w:szCs w:val="22"/>
              </w:rPr>
              <w:t xml:space="preserve"> Safety Benefits </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Mode Shift Safety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28.7</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49.6</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Bike Mode Shift Safety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1.3</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2.2</w:t>
            </w:r>
          </w:p>
        </w:tc>
      </w:tr>
      <w:tr w:rsidR="00FC1390" w:rsidRPr="00FC1390" w:rsidTr="00FC1390">
        <w:trPr>
          <w:trHeight w:val="288"/>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b/>
                <w:bCs/>
                <w:color w:val="000000"/>
                <w:szCs w:val="22"/>
              </w:rPr>
            </w:pPr>
            <w:r w:rsidRPr="00FC1390">
              <w:rPr>
                <w:b/>
                <w:bCs/>
                <w:color w:val="000000"/>
                <w:szCs w:val="22"/>
              </w:rPr>
              <w:t xml:space="preserve"> State of Good Repair Benefits  </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Maintenance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0.5</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0.4</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Residual Value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14.7</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36.6</w:t>
            </w:r>
          </w:p>
        </w:tc>
      </w:tr>
      <w:tr w:rsidR="00FC1390" w:rsidRPr="00FC1390" w:rsidTr="00FC1390">
        <w:trPr>
          <w:trHeight w:val="288"/>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b/>
                <w:bCs/>
                <w:color w:val="000000"/>
                <w:szCs w:val="22"/>
              </w:rPr>
            </w:pPr>
            <w:r w:rsidRPr="00FC1390">
              <w:rPr>
                <w:b/>
                <w:bCs/>
                <w:color w:val="000000"/>
                <w:szCs w:val="22"/>
              </w:rPr>
              <w:t xml:space="preserve"> Environmental Sustainability Benefits  </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Idling Emissions Reductions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0.4</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Idling CO2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1.1</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1.1</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Mode Shift Emissions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4.3</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6.9</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Mode Shift CO2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4.1</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4.1</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Freight Idling Emissions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0.5</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0.9</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Freight Idling CO2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Bike Mode Shift Emissions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0.3</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 Bike Mode Shift CO2 Savings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color w:val="000000"/>
                <w:szCs w:val="22"/>
              </w:rPr>
            </w:pPr>
            <w:r w:rsidRPr="00FC1390">
              <w:rPr>
                <w:color w:val="000000"/>
                <w:szCs w:val="22"/>
              </w:rPr>
              <w:t>$                           0.2</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FC1390" w:rsidRPr="0022431C" w:rsidRDefault="00FC1390" w:rsidP="00FC1390">
            <w:pPr>
              <w:spacing w:line="240" w:lineRule="auto"/>
              <w:rPr>
                <w:b/>
                <w:bCs/>
                <w:iCs/>
                <w:color w:val="000000"/>
                <w:szCs w:val="22"/>
              </w:rPr>
            </w:pPr>
            <w:r w:rsidRPr="0022431C">
              <w:rPr>
                <w:b/>
                <w:bCs/>
                <w:iCs/>
                <w:color w:val="000000"/>
                <w:szCs w:val="22"/>
              </w:rPr>
              <w:t xml:space="preserve"> Total Benefits </w:t>
            </w:r>
          </w:p>
        </w:tc>
        <w:tc>
          <w:tcPr>
            <w:tcW w:w="2220" w:type="dxa"/>
            <w:tcBorders>
              <w:top w:val="nil"/>
              <w:left w:val="nil"/>
              <w:bottom w:val="single" w:sz="4" w:space="0" w:color="auto"/>
              <w:right w:val="single" w:sz="4" w:space="0" w:color="auto"/>
            </w:tcBorders>
            <w:shd w:val="clear" w:color="000000" w:fill="FFFFFF"/>
            <w:noWrap/>
            <w:vAlign w:val="bottom"/>
            <w:hideMark/>
          </w:tcPr>
          <w:p w:rsidR="00FC1390" w:rsidRPr="0022431C" w:rsidRDefault="00FC1390" w:rsidP="00FC1390">
            <w:pPr>
              <w:spacing w:line="240" w:lineRule="auto"/>
              <w:jc w:val="center"/>
              <w:rPr>
                <w:b/>
                <w:bCs/>
                <w:iCs/>
                <w:color w:val="000000"/>
                <w:szCs w:val="22"/>
              </w:rPr>
            </w:pPr>
            <w:r w:rsidRPr="0022431C">
              <w:rPr>
                <w:b/>
                <w:bCs/>
                <w:iCs/>
                <w:color w:val="000000"/>
                <w:szCs w:val="22"/>
              </w:rPr>
              <w:t>$                       253.8</w:t>
            </w:r>
          </w:p>
        </w:tc>
        <w:tc>
          <w:tcPr>
            <w:tcW w:w="2220" w:type="dxa"/>
            <w:tcBorders>
              <w:top w:val="nil"/>
              <w:left w:val="nil"/>
              <w:bottom w:val="single" w:sz="4" w:space="0" w:color="auto"/>
              <w:right w:val="single" w:sz="4" w:space="0" w:color="auto"/>
            </w:tcBorders>
            <w:shd w:val="clear" w:color="000000" w:fill="FFFFFF"/>
            <w:noWrap/>
            <w:vAlign w:val="bottom"/>
            <w:hideMark/>
          </w:tcPr>
          <w:p w:rsidR="00FC1390" w:rsidRPr="0022431C" w:rsidRDefault="00FC1390" w:rsidP="00FC1390">
            <w:pPr>
              <w:spacing w:line="240" w:lineRule="auto"/>
              <w:jc w:val="center"/>
              <w:rPr>
                <w:b/>
                <w:bCs/>
                <w:iCs/>
                <w:color w:val="000000"/>
                <w:szCs w:val="22"/>
              </w:rPr>
            </w:pPr>
            <w:r w:rsidRPr="0022431C">
              <w:rPr>
                <w:b/>
                <w:bCs/>
                <w:iCs/>
                <w:color w:val="000000"/>
                <w:szCs w:val="22"/>
              </w:rPr>
              <w:t>$                       436.6</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color w:val="000000"/>
                <w:szCs w:val="22"/>
              </w:rPr>
            </w:pPr>
            <w:r w:rsidRPr="00FC1390">
              <w:rPr>
                <w:color w:val="000000"/>
                <w:szCs w:val="22"/>
              </w:rPr>
              <w:t xml:space="preserve">Total Cost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22431C">
            <w:pPr>
              <w:spacing w:line="240" w:lineRule="auto"/>
              <w:jc w:val="center"/>
              <w:rPr>
                <w:color w:val="000000"/>
                <w:szCs w:val="22"/>
              </w:rPr>
            </w:pPr>
            <w:r w:rsidRPr="00FC1390">
              <w:rPr>
                <w:color w:val="000000"/>
                <w:szCs w:val="22"/>
              </w:rPr>
              <w:t xml:space="preserve">$            </w:t>
            </w:r>
            <w:r w:rsidR="0022431C">
              <w:rPr>
                <w:color w:val="000000"/>
                <w:szCs w:val="22"/>
              </w:rPr>
              <w:t xml:space="preserve">  </w:t>
            </w:r>
            <w:r w:rsidRPr="00FC1390">
              <w:rPr>
                <w:color w:val="000000"/>
                <w:szCs w:val="22"/>
              </w:rPr>
              <w:t xml:space="preserve">         206.</w:t>
            </w:r>
            <w:r w:rsidR="0022431C">
              <w:rPr>
                <w:color w:val="000000"/>
                <w:szCs w:val="22"/>
              </w:rPr>
              <w:t>5</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22431C">
            <w:pPr>
              <w:spacing w:line="240" w:lineRule="auto"/>
              <w:jc w:val="center"/>
              <w:rPr>
                <w:color w:val="000000"/>
                <w:szCs w:val="22"/>
              </w:rPr>
            </w:pPr>
            <w:r w:rsidRPr="00FC1390">
              <w:rPr>
                <w:color w:val="000000"/>
                <w:szCs w:val="22"/>
              </w:rPr>
              <w:t xml:space="preserve">$             </w:t>
            </w:r>
            <w:r w:rsidR="0022431C">
              <w:rPr>
                <w:color w:val="000000"/>
                <w:szCs w:val="22"/>
              </w:rPr>
              <w:t xml:space="preserve">  </w:t>
            </w:r>
            <w:r w:rsidRPr="00FC1390">
              <w:rPr>
                <w:color w:val="000000"/>
                <w:szCs w:val="22"/>
              </w:rPr>
              <w:t xml:space="preserve">        239.</w:t>
            </w:r>
            <w:r w:rsidR="0022431C">
              <w:rPr>
                <w:color w:val="000000"/>
                <w:szCs w:val="22"/>
              </w:rPr>
              <w:t>4</w:t>
            </w:r>
          </w:p>
        </w:tc>
      </w:tr>
      <w:tr w:rsidR="00FC1390" w:rsidRPr="00FC1390" w:rsidTr="00FC1390">
        <w:trPr>
          <w:trHeight w:val="288"/>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rPr>
                <w:b/>
                <w:bCs/>
                <w:color w:val="000000"/>
                <w:szCs w:val="22"/>
              </w:rPr>
            </w:pPr>
            <w:r w:rsidRPr="00FC1390">
              <w:rPr>
                <w:b/>
                <w:bCs/>
                <w:color w:val="000000"/>
                <w:szCs w:val="22"/>
              </w:rPr>
              <w:t xml:space="preserve">Benefit-Costs Ratio </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b/>
                <w:bCs/>
                <w:color w:val="000000"/>
                <w:szCs w:val="22"/>
              </w:rPr>
            </w:pPr>
            <w:r w:rsidRPr="00FC1390">
              <w:rPr>
                <w:b/>
                <w:bCs/>
                <w:color w:val="000000"/>
                <w:szCs w:val="22"/>
              </w:rPr>
              <w:t>1.23</w:t>
            </w:r>
          </w:p>
        </w:tc>
        <w:tc>
          <w:tcPr>
            <w:tcW w:w="2220" w:type="dxa"/>
            <w:tcBorders>
              <w:top w:val="nil"/>
              <w:left w:val="nil"/>
              <w:bottom w:val="single" w:sz="4" w:space="0" w:color="auto"/>
              <w:right w:val="single" w:sz="4" w:space="0" w:color="auto"/>
            </w:tcBorders>
            <w:shd w:val="clear" w:color="auto" w:fill="auto"/>
            <w:noWrap/>
            <w:vAlign w:val="bottom"/>
            <w:hideMark/>
          </w:tcPr>
          <w:p w:rsidR="00FC1390" w:rsidRPr="00FC1390" w:rsidRDefault="00FC1390" w:rsidP="00FC1390">
            <w:pPr>
              <w:spacing w:line="240" w:lineRule="auto"/>
              <w:jc w:val="center"/>
              <w:rPr>
                <w:b/>
                <w:bCs/>
                <w:color w:val="000000"/>
                <w:szCs w:val="22"/>
              </w:rPr>
            </w:pPr>
            <w:r w:rsidRPr="00FC1390">
              <w:rPr>
                <w:b/>
                <w:bCs/>
                <w:color w:val="000000"/>
                <w:szCs w:val="22"/>
              </w:rPr>
              <w:t>1.82</w:t>
            </w:r>
          </w:p>
        </w:tc>
      </w:tr>
    </w:tbl>
    <w:p w:rsidR="0022431C" w:rsidRPr="006A21C2" w:rsidRDefault="0022431C" w:rsidP="0022431C">
      <w:pPr>
        <w:pStyle w:val="BodyText"/>
        <w:rPr>
          <w:sz w:val="16"/>
          <w:szCs w:val="16"/>
        </w:rPr>
      </w:pPr>
      <w:r w:rsidRPr="006A21C2">
        <w:rPr>
          <w:sz w:val="16"/>
          <w:szCs w:val="16"/>
        </w:rPr>
        <w:t>Source: AECOM</w:t>
      </w:r>
    </w:p>
    <w:p w:rsidR="00323D5D" w:rsidRDefault="00323D5D" w:rsidP="00323D5D">
      <w:pPr>
        <w:pStyle w:val="BodyText"/>
      </w:pPr>
    </w:p>
    <w:p w:rsidR="0049339C" w:rsidRDefault="0049339C" w:rsidP="00323D5D">
      <w:pPr>
        <w:pStyle w:val="BodyText"/>
      </w:pPr>
    </w:p>
    <w:p w:rsidR="00352901" w:rsidRDefault="00352901" w:rsidP="00323D5D">
      <w:pPr>
        <w:pStyle w:val="BodyText"/>
      </w:pPr>
    </w:p>
    <w:p w:rsidR="00352901" w:rsidRDefault="00352901" w:rsidP="00323D5D">
      <w:pPr>
        <w:pStyle w:val="BodyText"/>
      </w:pPr>
    </w:p>
    <w:p w:rsidR="00384B93" w:rsidRPr="00323D5D" w:rsidRDefault="00B51C00" w:rsidP="00651623">
      <w:pPr>
        <w:pStyle w:val="Heading1"/>
        <w:rPr>
          <w:rFonts w:ascii="Times New Roman" w:hAnsi="Times New Roman" w:cs="Times New Roman"/>
        </w:rPr>
      </w:pPr>
      <w:bookmarkStart w:id="75" w:name="_Toc448780300"/>
      <w:r w:rsidRPr="00323D5D">
        <w:rPr>
          <w:rFonts w:ascii="Times New Roman" w:hAnsi="Times New Roman" w:cs="Times New Roman"/>
        </w:rPr>
        <w:lastRenderedPageBreak/>
        <w:t xml:space="preserve">Benefits </w:t>
      </w:r>
      <w:r w:rsidR="00384B93" w:rsidRPr="00323D5D">
        <w:rPr>
          <w:rFonts w:ascii="Times New Roman" w:hAnsi="Times New Roman" w:cs="Times New Roman"/>
        </w:rPr>
        <w:t xml:space="preserve">Analysis </w:t>
      </w:r>
      <w:r w:rsidR="00690A50" w:rsidRPr="00323D5D">
        <w:rPr>
          <w:rFonts w:ascii="Times New Roman" w:hAnsi="Times New Roman" w:cs="Times New Roman"/>
        </w:rPr>
        <w:t>Assumptions</w:t>
      </w:r>
      <w:bookmarkEnd w:id="75"/>
    </w:p>
    <w:p w:rsidR="00637AF5" w:rsidRPr="00323D5D" w:rsidRDefault="00FC4F48" w:rsidP="00651623">
      <w:pPr>
        <w:pStyle w:val="BodyText"/>
      </w:pPr>
      <w:r w:rsidRPr="00323D5D">
        <w:t>Th</w:t>
      </w:r>
      <w:r w:rsidR="006341E9">
        <w:t>e</w:t>
      </w:r>
      <w:r w:rsidRPr="00323D5D">
        <w:t xml:space="preserve"> </w:t>
      </w:r>
      <w:r w:rsidR="00F419FF" w:rsidRPr="00323D5D">
        <w:t xml:space="preserve">BCA </w:t>
      </w:r>
      <w:r w:rsidRPr="00323D5D">
        <w:t>evaluates the benefits and costs of impleme</w:t>
      </w:r>
      <w:r w:rsidR="00F419FF" w:rsidRPr="00323D5D">
        <w:t xml:space="preserve">nting the </w:t>
      </w:r>
      <w:r w:rsidR="003B3E40">
        <w:t>I-25 Project</w:t>
      </w:r>
      <w:r w:rsidRPr="00323D5D">
        <w:t xml:space="preserve"> against the no action scenario in which </w:t>
      </w:r>
      <w:r w:rsidR="00F419FF" w:rsidRPr="00323D5D">
        <w:t xml:space="preserve">the </w:t>
      </w:r>
      <w:r w:rsidR="003B3E40">
        <w:t>I-25 Project</w:t>
      </w:r>
      <w:r w:rsidR="00F419FF" w:rsidRPr="00323D5D">
        <w:t xml:space="preserve"> does not occur.  Th</w:t>
      </w:r>
      <w:r w:rsidR="006341E9">
        <w:t>e</w:t>
      </w:r>
      <w:r w:rsidR="00F419FF" w:rsidRPr="00323D5D">
        <w:t xml:space="preserve"> analysis utilizes information from a number of sources from both government agencies and consultants engaged by the applicant, as well a number of </w:t>
      </w:r>
      <w:r w:rsidR="00E7271F" w:rsidRPr="00323D5D">
        <w:t>assumptions</w:t>
      </w:r>
      <w:r w:rsidR="00F419FF" w:rsidRPr="00323D5D">
        <w:t xml:space="preserve"> which are compliant with DOT guidance.   </w:t>
      </w:r>
    </w:p>
    <w:p w:rsidR="00184D21" w:rsidRPr="00323D5D" w:rsidRDefault="00184D21" w:rsidP="00002F3B">
      <w:pPr>
        <w:pStyle w:val="Heading2"/>
        <w:rPr>
          <w:rFonts w:ascii="Times New Roman" w:hAnsi="Times New Roman" w:cs="Times New Roman"/>
        </w:rPr>
      </w:pPr>
      <w:bookmarkStart w:id="76" w:name="_Toc448780301"/>
      <w:r w:rsidRPr="00323D5D">
        <w:rPr>
          <w:rFonts w:ascii="Times New Roman" w:hAnsi="Times New Roman" w:cs="Times New Roman"/>
        </w:rPr>
        <w:t>Analytical Assumptions</w:t>
      </w:r>
      <w:bookmarkEnd w:id="76"/>
    </w:p>
    <w:p w:rsidR="00A93B4E" w:rsidRDefault="00A93B4E" w:rsidP="00002F3B">
      <w:pPr>
        <w:pStyle w:val="Heading3"/>
        <w:rPr>
          <w:rFonts w:ascii="Times New Roman" w:hAnsi="Times New Roman" w:cs="Times New Roman"/>
        </w:rPr>
      </w:pPr>
      <w:bookmarkStart w:id="77" w:name="_Toc448780302"/>
      <w:r>
        <w:rPr>
          <w:rFonts w:ascii="Times New Roman" w:hAnsi="Times New Roman" w:cs="Times New Roman"/>
        </w:rPr>
        <w:t>Assumptions – General</w:t>
      </w:r>
      <w:bookmarkEnd w:id="77"/>
      <w:r>
        <w:rPr>
          <w:rFonts w:ascii="Times New Roman" w:hAnsi="Times New Roman" w:cs="Times New Roman"/>
        </w:rPr>
        <w:t xml:space="preserve"> </w:t>
      </w:r>
    </w:p>
    <w:p w:rsidR="002E0CB1" w:rsidRPr="006A21C2" w:rsidRDefault="00184D21" w:rsidP="006A21C2">
      <w:pPr>
        <w:pStyle w:val="Heading4"/>
        <w:rPr>
          <w:rFonts w:ascii="Times New Roman" w:hAnsi="Times New Roman"/>
        </w:rPr>
      </w:pPr>
      <w:bookmarkStart w:id="78" w:name="_Toc448780303"/>
      <w:r w:rsidRPr="006A21C2">
        <w:rPr>
          <w:rFonts w:ascii="Times New Roman" w:hAnsi="Times New Roman"/>
        </w:rPr>
        <w:t>Discount Rates</w:t>
      </w:r>
      <w:bookmarkEnd w:id="78"/>
    </w:p>
    <w:p w:rsidR="00637AF5" w:rsidRPr="00323D5D" w:rsidRDefault="00637AF5" w:rsidP="00A93B4E">
      <w:pPr>
        <w:pStyle w:val="BodyText"/>
      </w:pPr>
      <w:r w:rsidRPr="00323D5D">
        <w:t>Consistent with the DOT’s guidance for TIGER grants, and with OMB Circular A-4</w:t>
      </w:r>
      <w:r w:rsidR="00951651" w:rsidRPr="00323D5D">
        <w:rPr>
          <w:rStyle w:val="FootnoteReference"/>
        </w:rPr>
        <w:footnoteReference w:id="1"/>
      </w:r>
      <w:r w:rsidRPr="00323D5D">
        <w:t xml:space="preserve">, real discount rates of 3 and 7 percent have been used for this analysis.  Project investments are expressed in constant 2016 dollars. In instances where assumptions, cost estimates or benefit valuations are expressed in dollar values for other years, the </w:t>
      </w:r>
      <w:r w:rsidR="00951651" w:rsidRPr="00323D5D">
        <w:t>Chained Price Index information from the White House Office of Management and Budget’s Gross Domestic Product and Deflators</w:t>
      </w:r>
      <w:r w:rsidR="00951651" w:rsidRPr="00323D5D">
        <w:rPr>
          <w:rStyle w:val="FootnoteReference"/>
        </w:rPr>
        <w:footnoteReference w:id="2"/>
      </w:r>
      <w:r w:rsidRPr="00323D5D">
        <w:t xml:space="preserve"> have been used to bring these to 2016 dollar figures. </w:t>
      </w:r>
    </w:p>
    <w:p w:rsidR="00184D21" w:rsidRPr="00466B45" w:rsidRDefault="00184D21" w:rsidP="006A21C2">
      <w:pPr>
        <w:pStyle w:val="Heading4"/>
        <w:rPr>
          <w:rFonts w:ascii="Times New Roman" w:hAnsi="Times New Roman"/>
        </w:rPr>
      </w:pPr>
      <w:bookmarkStart w:id="79" w:name="_Toc448780304"/>
      <w:r w:rsidRPr="00466B45">
        <w:rPr>
          <w:rFonts w:ascii="Times New Roman" w:hAnsi="Times New Roman"/>
        </w:rPr>
        <w:t>Evaluation Period</w:t>
      </w:r>
      <w:bookmarkEnd w:id="79"/>
      <w:r w:rsidRPr="00466B45">
        <w:rPr>
          <w:rFonts w:ascii="Times New Roman" w:hAnsi="Times New Roman"/>
        </w:rPr>
        <w:t xml:space="preserve"> </w:t>
      </w:r>
    </w:p>
    <w:p w:rsidR="008C33C0" w:rsidRDefault="00637AF5" w:rsidP="00A93B4E">
      <w:pPr>
        <w:pStyle w:val="BodyText"/>
      </w:pPr>
      <w:r w:rsidRPr="00323D5D">
        <w:t>The evaluation period in this assessment is 23 years, extending from 201</w:t>
      </w:r>
      <w:r w:rsidR="00FC4F48" w:rsidRPr="00323D5D">
        <w:t>8</w:t>
      </w:r>
      <w:r w:rsidRPr="00323D5D">
        <w:t xml:space="preserve"> </w:t>
      </w:r>
      <w:r w:rsidR="00FC4F48" w:rsidRPr="00323D5D">
        <w:t>through to the end of</w:t>
      </w:r>
      <w:r w:rsidRPr="00323D5D">
        <w:t xml:space="preserve"> 2040.   This evaluation period begins in the year in which capital expenditures for the </w:t>
      </w:r>
      <w:r w:rsidR="003B3E40">
        <w:t>I-25 Project</w:t>
      </w:r>
      <w:r w:rsidRPr="00323D5D">
        <w:t xml:space="preserve"> are to begin</w:t>
      </w:r>
      <w:r w:rsidR="008C33C0" w:rsidRPr="00323D5D">
        <w:t xml:space="preserve">, </w:t>
      </w:r>
      <w:r w:rsidR="00E7271F" w:rsidRPr="00323D5D">
        <w:t>plus twenty</w:t>
      </w:r>
      <w:r w:rsidRPr="00323D5D">
        <w:t xml:space="preserve"> years of </w:t>
      </w:r>
      <w:r w:rsidR="008C33C0" w:rsidRPr="00323D5D">
        <w:t xml:space="preserve">operations of </w:t>
      </w:r>
      <w:r w:rsidRPr="00323D5D">
        <w:t>the managed lanes and other associated works of the I-25.</w:t>
      </w:r>
      <w:r w:rsidR="008C33C0" w:rsidRPr="00323D5D">
        <w:t xml:space="preserve">  This analysis assumes that construction of the </w:t>
      </w:r>
      <w:r w:rsidR="003B3E40">
        <w:t>I-25 Project</w:t>
      </w:r>
      <w:r w:rsidR="008C33C0" w:rsidRPr="00323D5D">
        <w:t xml:space="preserve"> will begin in </w:t>
      </w:r>
      <w:r w:rsidR="0097726A" w:rsidRPr="00323D5D">
        <w:t>201</w:t>
      </w:r>
      <w:r w:rsidR="0097726A">
        <w:t>8</w:t>
      </w:r>
      <w:r w:rsidR="0097726A" w:rsidRPr="00323D5D">
        <w:t xml:space="preserve"> </w:t>
      </w:r>
      <w:r w:rsidR="008C33C0" w:rsidRPr="00323D5D">
        <w:t xml:space="preserve">will continue through to 2020.  Operations of the managed lanes along the assessment corridor will begin in </w:t>
      </w:r>
      <w:r w:rsidR="009C2012" w:rsidRPr="00323D5D">
        <w:t xml:space="preserve">the first quarter of </w:t>
      </w:r>
      <w:r w:rsidR="008C33C0" w:rsidRPr="00323D5D">
        <w:t>202</w:t>
      </w:r>
      <w:r w:rsidR="009C2012" w:rsidRPr="00323D5D">
        <w:t>1</w:t>
      </w:r>
      <w:r w:rsidR="008C33C0" w:rsidRPr="00323D5D">
        <w:t>. All benefits and costs are assumed to occur at the end of the year, with benefits beginning to be accrued in 202</w:t>
      </w:r>
      <w:r w:rsidR="009C2012" w:rsidRPr="00323D5D">
        <w:t>1</w:t>
      </w:r>
      <w:r w:rsidR="008C33C0" w:rsidRPr="00323D5D">
        <w:t xml:space="preserve">, the same year that </w:t>
      </w:r>
      <w:r w:rsidR="009C2012" w:rsidRPr="00323D5D">
        <w:t>operation is</w:t>
      </w:r>
      <w:r w:rsidR="008C33C0" w:rsidRPr="00323D5D">
        <w:t xml:space="preserve"> scheduled to</w:t>
      </w:r>
      <w:r w:rsidR="00FC4F48" w:rsidRPr="00323D5D">
        <w:t xml:space="preserve"> </w:t>
      </w:r>
      <w:r w:rsidR="009C2012" w:rsidRPr="00323D5D">
        <w:t>commence</w:t>
      </w:r>
      <w:r w:rsidR="008C33C0" w:rsidRPr="00323D5D">
        <w:t xml:space="preserve">.    </w:t>
      </w:r>
    </w:p>
    <w:p w:rsidR="00466B45" w:rsidRDefault="00466B45" w:rsidP="006A21C2">
      <w:pPr>
        <w:pStyle w:val="Heading4"/>
        <w:rPr>
          <w:rFonts w:ascii="Times New Roman" w:hAnsi="Times New Roman"/>
        </w:rPr>
      </w:pPr>
      <w:bookmarkStart w:id="80" w:name="_Toc448780305"/>
      <w:r w:rsidRPr="006A21C2">
        <w:rPr>
          <w:rFonts w:ascii="Times New Roman" w:hAnsi="Times New Roman"/>
        </w:rPr>
        <w:t>Key Benefit-Cost Evaluation Measures</w:t>
      </w:r>
      <w:bookmarkEnd w:id="80"/>
    </w:p>
    <w:p w:rsidR="00466B45" w:rsidRPr="00323D5D" w:rsidRDefault="00962481" w:rsidP="00962481">
      <w:pPr>
        <w:pStyle w:val="BodyText"/>
      </w:pPr>
      <w:r>
        <w:t>T</w:t>
      </w:r>
      <w:r w:rsidR="00466B45" w:rsidRPr="00323D5D">
        <w:t xml:space="preserve">his benefit-cost analysis converts potential gains (benefits) and losses (costs) resulting from the implementation of the </w:t>
      </w:r>
      <w:r w:rsidR="003B3E40">
        <w:t>I-25 Project</w:t>
      </w:r>
      <w:r w:rsidR="00466B45" w:rsidRPr="00323D5D">
        <w:t xml:space="preserve"> into monetary units and compares them.  The following two common benefit-costs evaluation measures are included in this analysis</w:t>
      </w:r>
      <w:r w:rsidR="00160EDE">
        <w:t>.</w:t>
      </w:r>
    </w:p>
    <w:p w:rsidR="00466B45" w:rsidRPr="00323D5D" w:rsidRDefault="00466B45" w:rsidP="006A21C2">
      <w:pPr>
        <w:pStyle w:val="Heading5"/>
      </w:pPr>
      <w:r w:rsidRPr="00323D5D">
        <w:lastRenderedPageBreak/>
        <w:t>Net Present Value (NPV)</w:t>
      </w:r>
    </w:p>
    <w:p w:rsidR="00466B45" w:rsidRPr="00323D5D" w:rsidRDefault="00466B45" w:rsidP="00466B45">
      <w:pPr>
        <w:pStyle w:val="Heading4"/>
        <w:numPr>
          <w:ilvl w:val="0"/>
          <w:numId w:val="0"/>
        </w:numPr>
        <w:rPr>
          <w:rFonts w:ascii="Times New Roman" w:hAnsi="Times New Roman"/>
          <w:b w:val="0"/>
          <w:i w:val="0"/>
          <w:sz w:val="22"/>
          <w:szCs w:val="22"/>
        </w:rPr>
      </w:pPr>
      <w:r w:rsidRPr="00323D5D">
        <w:rPr>
          <w:rFonts w:ascii="Times New Roman" w:hAnsi="Times New Roman"/>
          <w:b w:val="0"/>
          <w:i w:val="0"/>
          <w:sz w:val="22"/>
          <w:szCs w:val="22"/>
        </w:rPr>
        <w:t xml:space="preserve"> </w:t>
      </w:r>
      <w:bookmarkStart w:id="81" w:name="_Toc448221579"/>
      <w:bookmarkStart w:id="82" w:name="_Toc448765966"/>
      <w:bookmarkStart w:id="83" w:name="_Toc448780306"/>
      <w:r w:rsidRPr="00323D5D">
        <w:rPr>
          <w:rFonts w:ascii="Times New Roman" w:hAnsi="Times New Roman"/>
          <w:b w:val="0"/>
          <w:i w:val="0"/>
          <w:sz w:val="22"/>
          <w:szCs w:val="22"/>
        </w:rPr>
        <w:t>NPV compares the net benefits (benefits less costs) after being discounted to present values using the real discount rate assumption.  The NPV provides a perspective on the overall dollar magnitude of cash flows over time in $2016.</w:t>
      </w:r>
      <w:bookmarkEnd w:id="81"/>
      <w:bookmarkEnd w:id="82"/>
      <w:bookmarkEnd w:id="83"/>
      <w:r w:rsidRPr="00323D5D">
        <w:rPr>
          <w:rFonts w:ascii="Times New Roman" w:hAnsi="Times New Roman"/>
          <w:b w:val="0"/>
          <w:i w:val="0"/>
          <w:sz w:val="22"/>
          <w:szCs w:val="22"/>
        </w:rPr>
        <w:t xml:space="preserve"> </w:t>
      </w:r>
    </w:p>
    <w:p w:rsidR="00466B45" w:rsidRPr="00323D5D" w:rsidRDefault="00466B45" w:rsidP="006A21C2">
      <w:pPr>
        <w:pStyle w:val="Heading5"/>
      </w:pPr>
      <w:r w:rsidRPr="00323D5D">
        <w:t>Benefit Costs Ratio (BCR)</w:t>
      </w:r>
    </w:p>
    <w:p w:rsidR="00466B45" w:rsidRPr="00323D5D" w:rsidRDefault="00466B45" w:rsidP="00466B45">
      <w:pPr>
        <w:pStyle w:val="BodyText"/>
      </w:pPr>
      <w:r w:rsidRPr="00323D5D">
        <w:t xml:space="preserve">The BCR expresses the relation of discounted benefits to discounted costs as a measure of the extent to which the project benefits either exceed or fall short of their associated costs. </w:t>
      </w:r>
    </w:p>
    <w:p w:rsidR="00A93B4E" w:rsidRPr="00A93B4E" w:rsidRDefault="00A93B4E" w:rsidP="00002F3B">
      <w:pPr>
        <w:pStyle w:val="Heading3"/>
        <w:rPr>
          <w:rFonts w:ascii="Times New Roman" w:hAnsi="Times New Roman" w:cs="Times New Roman"/>
        </w:rPr>
      </w:pPr>
      <w:bookmarkStart w:id="84" w:name="_Toc448162783"/>
      <w:bookmarkStart w:id="85" w:name="_Toc448163103"/>
      <w:bookmarkStart w:id="86" w:name="_Toc448163423"/>
      <w:bookmarkStart w:id="87" w:name="_Toc448780307"/>
      <w:bookmarkEnd w:id="84"/>
      <w:bookmarkEnd w:id="85"/>
      <w:bookmarkEnd w:id="86"/>
      <w:r w:rsidRPr="00A93B4E">
        <w:rPr>
          <w:rFonts w:ascii="Times New Roman" w:hAnsi="Times New Roman" w:cs="Times New Roman"/>
        </w:rPr>
        <w:t xml:space="preserve">Assumptions – </w:t>
      </w:r>
      <w:r w:rsidR="00023173">
        <w:rPr>
          <w:rFonts w:ascii="Times New Roman" w:hAnsi="Times New Roman" w:cs="Times New Roman"/>
        </w:rPr>
        <w:t>Travel Demand and Travel Time</w:t>
      </w:r>
      <w:bookmarkEnd w:id="87"/>
      <w:r w:rsidRPr="00A93B4E">
        <w:rPr>
          <w:rFonts w:ascii="Times New Roman" w:hAnsi="Times New Roman" w:cs="Times New Roman"/>
        </w:rPr>
        <w:t xml:space="preserve"> </w:t>
      </w:r>
    </w:p>
    <w:p w:rsidR="00184D21" w:rsidRPr="00323D5D" w:rsidRDefault="0020508C" w:rsidP="006A21C2">
      <w:pPr>
        <w:pStyle w:val="Heading4"/>
      </w:pPr>
      <w:bookmarkStart w:id="88" w:name="_Toc448780308"/>
      <w:r w:rsidRPr="00323D5D">
        <w:t xml:space="preserve">Travel Demand </w:t>
      </w:r>
      <w:r w:rsidR="00184D21" w:rsidRPr="00323D5D">
        <w:t>Assumptions</w:t>
      </w:r>
      <w:bookmarkEnd w:id="88"/>
      <w:r w:rsidR="00184D21" w:rsidRPr="00323D5D">
        <w:t xml:space="preserve"> </w:t>
      </w:r>
    </w:p>
    <w:p w:rsidR="00036862" w:rsidRPr="00323D5D" w:rsidRDefault="00036862" w:rsidP="00651623">
      <w:pPr>
        <w:pStyle w:val="BodyText"/>
      </w:pPr>
      <w:r w:rsidRPr="00323D5D">
        <w:t xml:space="preserve">In July 2014, Muller Engineering Company, Inc. (Muller) produced a technical memorandum for the Colorado Department of Transportation (CDOT) entitled </w:t>
      </w:r>
      <w:r w:rsidRPr="00323D5D">
        <w:rPr>
          <w:i/>
        </w:rPr>
        <w:t>I-25 Managed Lanes Traffic Operations Analysis – Final</w:t>
      </w:r>
      <w:r w:rsidR="00524AB4">
        <w:rPr>
          <w:i/>
        </w:rPr>
        <w:t xml:space="preserve"> </w:t>
      </w:r>
      <w:r w:rsidR="00263C30" w:rsidRPr="006A21C2">
        <w:t>(I-25 Managed Lanes Study</w:t>
      </w:r>
      <w:r w:rsidR="00263C30" w:rsidRPr="00323D5D">
        <w:rPr>
          <w:i/>
        </w:rPr>
        <w:t>)</w:t>
      </w:r>
      <w:r w:rsidRPr="00323D5D">
        <w:t xml:space="preserve">.  This memorandum complemented a study entitled </w:t>
      </w:r>
      <w:r w:rsidRPr="00323D5D">
        <w:rPr>
          <w:i/>
        </w:rPr>
        <w:t>Traffic and Revenue Assessment of Tolled Express Lanes Scenarios</w:t>
      </w:r>
      <w:r w:rsidR="00263C30" w:rsidRPr="00323D5D">
        <w:rPr>
          <w:i/>
        </w:rPr>
        <w:t xml:space="preserve"> </w:t>
      </w:r>
      <w:r w:rsidR="00263C30" w:rsidRPr="006A21C2">
        <w:t>(T&amp;R Study)</w:t>
      </w:r>
      <w:r w:rsidRPr="00524AB4">
        <w:t>,</w:t>
      </w:r>
      <w:r w:rsidRPr="00323D5D">
        <w:t xml:space="preserve"> produced in the same month by CDM-Smith.  </w:t>
      </w:r>
      <w:r w:rsidR="00DA141C" w:rsidRPr="00323D5D">
        <w:t>Estimations on the total number of trips within the corridor as well as revenue generate</w:t>
      </w:r>
      <w:r w:rsidR="009C2012" w:rsidRPr="00323D5D">
        <w:t>d</w:t>
      </w:r>
      <w:r w:rsidR="00DA141C" w:rsidRPr="00323D5D">
        <w:t xml:space="preserve"> by the managed lanes </w:t>
      </w:r>
      <w:r w:rsidR="009C2012" w:rsidRPr="00323D5D">
        <w:t xml:space="preserve">under the build scenario </w:t>
      </w:r>
      <w:r w:rsidR="00E7271F" w:rsidRPr="00323D5D">
        <w:t>were</w:t>
      </w:r>
      <w:r w:rsidR="00DA141C" w:rsidRPr="00323D5D">
        <w:t xml:space="preserve"> updated by CDM-Smith in </w:t>
      </w:r>
      <w:r w:rsidR="009C2012" w:rsidRPr="00323D5D">
        <w:t xml:space="preserve">their </w:t>
      </w:r>
      <w:r w:rsidR="00DA141C" w:rsidRPr="00323D5D">
        <w:t>2016</w:t>
      </w:r>
      <w:r w:rsidR="009C2012" w:rsidRPr="00323D5D">
        <w:t xml:space="preserve"> draft technical memorandum </w:t>
      </w:r>
      <w:r w:rsidR="009C2012" w:rsidRPr="00323D5D">
        <w:rPr>
          <w:i/>
        </w:rPr>
        <w:t>Traffic and Revenue Update of Tolled Express Lanes: Scenario 3c</w:t>
      </w:r>
      <w:r w:rsidR="00DA141C" w:rsidRPr="00323D5D">
        <w:t xml:space="preserve">.  </w:t>
      </w:r>
      <w:r w:rsidRPr="00323D5D">
        <w:t xml:space="preserve">Together, these documents modeled the Average Weekday Daily Traffic (AWDT) for the assessment corridor, estimating the volume of traffic within the assessment corridor between 5am and 7pm each weekday, as well as the travel times, average speeds in general purpose and managed lanes, and revenue generated by the use of the managed lanes.  </w:t>
      </w:r>
    </w:p>
    <w:p w:rsidR="009C2012" w:rsidRPr="00323D5D" w:rsidRDefault="00036862" w:rsidP="00651623">
      <w:pPr>
        <w:pStyle w:val="BodyText"/>
      </w:pPr>
      <w:r w:rsidRPr="00323D5D">
        <w:t xml:space="preserve">The benefit evaluation within this </w:t>
      </w:r>
      <w:r w:rsidR="007D7CAF" w:rsidRPr="00323D5D">
        <w:t>analysis</w:t>
      </w:r>
      <w:r w:rsidRPr="00323D5D">
        <w:t xml:space="preserve"> </w:t>
      </w:r>
      <w:r w:rsidR="009C2012" w:rsidRPr="00323D5D">
        <w:t xml:space="preserve">assesses </w:t>
      </w:r>
      <w:r w:rsidRPr="00323D5D">
        <w:t>only the daily AWDT as descri</w:t>
      </w:r>
      <w:r w:rsidR="0020508C" w:rsidRPr="00323D5D">
        <w:t>bed above as it is only during this fourteen hour period on weekday</w:t>
      </w:r>
      <w:r w:rsidR="007D7CAF" w:rsidRPr="00323D5D">
        <w:t>s</w:t>
      </w:r>
      <w:r w:rsidR="0020508C" w:rsidRPr="00323D5D">
        <w:t xml:space="preserve"> </w:t>
      </w:r>
      <w:r w:rsidR="007D7CAF" w:rsidRPr="00323D5D">
        <w:t xml:space="preserve">that </w:t>
      </w:r>
      <w:r w:rsidRPr="00323D5D">
        <w:t>congestion currently occurs</w:t>
      </w:r>
      <w:r w:rsidR="0020508C" w:rsidRPr="00323D5D">
        <w:t xml:space="preserve"> within the assessment corridor</w:t>
      </w:r>
      <w:r w:rsidRPr="00323D5D">
        <w:t>.</w:t>
      </w:r>
      <w:r w:rsidR="0020508C" w:rsidRPr="00323D5D">
        <w:t xml:space="preserve">  </w:t>
      </w:r>
      <w:r w:rsidR="0049339C">
        <w:t>Travel time</w:t>
      </w:r>
      <w:r w:rsidR="009C2012" w:rsidRPr="00323D5D">
        <w:t xml:space="preserve"> savings and associated benefits are assessed for only two periods during the weekdays, 6:45am – 8:30am and 3pm – 7pm.  These two period</w:t>
      </w:r>
      <w:r w:rsidR="009C3165" w:rsidRPr="00323D5D">
        <w:t>s</w:t>
      </w:r>
      <w:r w:rsidR="009C2012" w:rsidRPr="00323D5D">
        <w:t xml:space="preserve"> represent the times of the day when congestion along the corridor is most pronounced, as well as the only time for which </w:t>
      </w:r>
      <w:r w:rsidR="0049339C">
        <w:t>travel time</w:t>
      </w:r>
      <w:r w:rsidR="009C2012" w:rsidRPr="00323D5D">
        <w:t xml:space="preserve"> savings</w:t>
      </w:r>
      <w:r w:rsidR="0049339C">
        <w:t xml:space="preserve"> between the two scenarios </w:t>
      </w:r>
      <w:r w:rsidR="009C2012" w:rsidRPr="00323D5D">
        <w:t>have been modelled.   While</w:t>
      </w:r>
      <w:r w:rsidR="0020508C" w:rsidRPr="00323D5D">
        <w:t xml:space="preserve"> thousands of vehicles utilize this corridor outside of th</w:t>
      </w:r>
      <w:r w:rsidR="009C2012" w:rsidRPr="00323D5D">
        <w:t>ese</w:t>
      </w:r>
      <w:r w:rsidR="0020508C" w:rsidRPr="00323D5D">
        <w:t xml:space="preserve"> time </w:t>
      </w:r>
      <w:r w:rsidR="00524AB4">
        <w:t>period</w:t>
      </w:r>
      <w:r w:rsidR="009C2012" w:rsidRPr="00323D5D">
        <w:t>s</w:t>
      </w:r>
      <w:r w:rsidR="0020508C" w:rsidRPr="00323D5D">
        <w:t xml:space="preserve"> throughou</w:t>
      </w:r>
      <w:r w:rsidR="009C2012" w:rsidRPr="00323D5D">
        <w:t xml:space="preserve">t the week and over the weekend, congestion levels and </w:t>
      </w:r>
      <w:r w:rsidR="0049339C">
        <w:t>travel time</w:t>
      </w:r>
      <w:r w:rsidR="009C2012" w:rsidRPr="00323D5D">
        <w:t xml:space="preserve"> savings have not been modelled for this times and thus are not assessed within this analysis. </w:t>
      </w:r>
      <w:r w:rsidR="0020508C" w:rsidRPr="00323D5D">
        <w:t xml:space="preserve"> </w:t>
      </w:r>
    </w:p>
    <w:p w:rsidR="003266B1" w:rsidRPr="00323D5D" w:rsidRDefault="003266B1" w:rsidP="006A21C2">
      <w:pPr>
        <w:pStyle w:val="Heading4"/>
      </w:pPr>
      <w:bookmarkStart w:id="89" w:name="_Toc448780309"/>
      <w:r w:rsidRPr="00323D5D">
        <w:t xml:space="preserve">Traffic Volumes </w:t>
      </w:r>
      <w:r w:rsidR="009D3D5D" w:rsidRPr="00323D5D">
        <w:t>i</w:t>
      </w:r>
      <w:r w:rsidR="00811743" w:rsidRPr="00323D5D">
        <w:t>n</w:t>
      </w:r>
      <w:r w:rsidRPr="00323D5D">
        <w:t xml:space="preserve"> Assessment Corridor</w:t>
      </w:r>
      <w:bookmarkEnd w:id="89"/>
    </w:p>
    <w:p w:rsidR="0003411C" w:rsidRPr="00323D5D" w:rsidRDefault="003266B1" w:rsidP="003266B1">
      <w:pPr>
        <w:pStyle w:val="BodyText"/>
      </w:pPr>
      <w:r w:rsidRPr="00323D5D">
        <w:t xml:space="preserve">Volumes </w:t>
      </w:r>
      <w:r w:rsidR="009C3165" w:rsidRPr="00323D5D">
        <w:t xml:space="preserve">under the baseline and build scenarios </w:t>
      </w:r>
      <w:r w:rsidRPr="00323D5D">
        <w:t>for both northbound and southbound traffic within the assessment corridor have been derived from Muller’s and CDM-Smith’s AWDT data</w:t>
      </w:r>
      <w:r w:rsidR="00811743" w:rsidRPr="00323D5D">
        <w:t xml:space="preserve"> for the years 2015, 2025 and 2035, with volume estimates for 2020,</w:t>
      </w:r>
      <w:r w:rsidR="0049339C">
        <w:t xml:space="preserve"> </w:t>
      </w:r>
      <w:r w:rsidR="00811743" w:rsidRPr="00323D5D">
        <w:t>2030 and 2040 inter-and extrapolated from this data.</w:t>
      </w:r>
      <w:r w:rsidR="0003411C" w:rsidRPr="00323D5D">
        <w:t xml:space="preserve">  The overall reduction in vehicle volumes between the two scenarios is assumed to be reflective of mode shift from single passenger vehicles to </w:t>
      </w:r>
      <w:r w:rsidR="004929C1">
        <w:t>carpooling (</w:t>
      </w:r>
      <w:r w:rsidR="00D807A7">
        <w:t xml:space="preserve">high occupancy </w:t>
      </w:r>
      <w:r w:rsidR="0003411C" w:rsidRPr="00323D5D">
        <w:t>vehicles</w:t>
      </w:r>
      <w:r w:rsidR="00D807A7">
        <w:t xml:space="preserve"> </w:t>
      </w:r>
      <w:r w:rsidR="004929C1">
        <w:t xml:space="preserve">or </w:t>
      </w:r>
      <w:r w:rsidR="00D807A7">
        <w:t>HOV</w:t>
      </w:r>
      <w:r w:rsidR="004929C1">
        <w:t xml:space="preserve"> 3+</w:t>
      </w:r>
      <w:r w:rsidR="00D807A7">
        <w:t>)</w:t>
      </w:r>
      <w:r w:rsidR="0003411C" w:rsidRPr="00323D5D">
        <w:t xml:space="preserve"> and</w:t>
      </w:r>
      <w:r w:rsidR="0049339C">
        <w:t xml:space="preserve"> to</w:t>
      </w:r>
      <w:r w:rsidR="0003411C" w:rsidRPr="00323D5D">
        <w:t xml:space="preserve"> public transit.  </w:t>
      </w:r>
      <w:r w:rsidR="009C3165" w:rsidRPr="00323D5D">
        <w:t xml:space="preserve">  </w:t>
      </w:r>
    </w:p>
    <w:p w:rsidR="003266B1" w:rsidRDefault="009C3165" w:rsidP="003266B1">
      <w:pPr>
        <w:pStyle w:val="BodyText"/>
      </w:pPr>
      <w:r w:rsidRPr="00323D5D">
        <w:t xml:space="preserve">Traffic volumes </w:t>
      </w:r>
      <w:r w:rsidR="0097726A">
        <w:t>for a representative segment of the assessment corridor</w:t>
      </w:r>
      <w:r w:rsidR="0097726A" w:rsidRPr="00323D5D">
        <w:t xml:space="preserve"> </w:t>
      </w:r>
      <w:r w:rsidR="0097726A">
        <w:t>under</w:t>
      </w:r>
      <w:r w:rsidR="0097726A" w:rsidRPr="00323D5D">
        <w:t xml:space="preserve"> </w:t>
      </w:r>
      <w:r w:rsidRPr="00323D5D">
        <w:t>both scenarios,</w:t>
      </w:r>
      <w:r w:rsidR="0097726A">
        <w:t xml:space="preserve"> </w:t>
      </w:r>
      <w:r w:rsidRPr="00323D5D">
        <w:t xml:space="preserve">are shown in Table </w:t>
      </w:r>
      <w:r w:rsidR="00F3566B">
        <w:t>2</w:t>
      </w:r>
      <w:r w:rsidRPr="00323D5D">
        <w:t>.</w:t>
      </w:r>
    </w:p>
    <w:p w:rsidR="00160EDE" w:rsidRPr="00323D5D" w:rsidRDefault="00160EDE" w:rsidP="003266B1">
      <w:pPr>
        <w:pStyle w:val="BodyText"/>
      </w:pPr>
    </w:p>
    <w:p w:rsidR="00811743" w:rsidRPr="00323D5D" w:rsidRDefault="00811743" w:rsidP="00811743">
      <w:pPr>
        <w:pStyle w:val="BodyText"/>
        <w:spacing w:after="0"/>
        <w:jc w:val="center"/>
        <w:rPr>
          <w:b/>
          <w:sz w:val="18"/>
          <w:szCs w:val="18"/>
        </w:rPr>
      </w:pPr>
      <w:r w:rsidRPr="00323D5D">
        <w:rPr>
          <w:b/>
          <w:sz w:val="18"/>
          <w:szCs w:val="18"/>
        </w:rPr>
        <w:lastRenderedPageBreak/>
        <w:t xml:space="preserve">Table </w:t>
      </w:r>
      <w:r w:rsidR="00F3566B">
        <w:rPr>
          <w:b/>
          <w:sz w:val="18"/>
          <w:szCs w:val="18"/>
        </w:rPr>
        <w:t>2</w:t>
      </w:r>
      <w:r w:rsidRPr="00323D5D">
        <w:rPr>
          <w:b/>
          <w:sz w:val="18"/>
          <w:szCs w:val="18"/>
        </w:rPr>
        <w:t xml:space="preserve">: Traffic Volumes in Assessment Corridor (2020-2040) </w:t>
      </w:r>
    </w:p>
    <w:tbl>
      <w:tblPr>
        <w:tblW w:w="5000" w:type="pct"/>
        <w:tblLook w:val="04A0" w:firstRow="1" w:lastRow="0" w:firstColumn="1" w:lastColumn="0" w:noHBand="0" w:noVBand="1"/>
      </w:tblPr>
      <w:tblGrid>
        <w:gridCol w:w="3529"/>
        <w:gridCol w:w="1210"/>
        <w:gridCol w:w="1210"/>
        <w:gridCol w:w="1210"/>
        <w:gridCol w:w="1210"/>
        <w:gridCol w:w="1207"/>
      </w:tblGrid>
      <w:tr w:rsidR="00811743" w:rsidRPr="00323D5D" w:rsidTr="00811743">
        <w:trPr>
          <w:trHeight w:val="288"/>
        </w:trPr>
        <w:tc>
          <w:tcPr>
            <w:tcW w:w="18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rPr>
                <w:b/>
                <w:color w:val="000000"/>
                <w:szCs w:val="22"/>
              </w:rPr>
            </w:pPr>
            <w:r w:rsidRPr="00323D5D">
              <w:rPr>
                <w:b/>
                <w:color w:val="000000"/>
                <w:szCs w:val="22"/>
              </w:rPr>
              <w:t> Scenario</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center"/>
              <w:rPr>
                <w:b/>
                <w:bCs/>
                <w:color w:val="000000"/>
                <w:szCs w:val="22"/>
              </w:rPr>
            </w:pPr>
            <w:r w:rsidRPr="00323D5D">
              <w:rPr>
                <w:b/>
                <w:bCs/>
                <w:color w:val="000000"/>
                <w:szCs w:val="22"/>
              </w:rPr>
              <w:t>2020</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center"/>
              <w:rPr>
                <w:b/>
                <w:bCs/>
                <w:color w:val="000000"/>
                <w:szCs w:val="22"/>
              </w:rPr>
            </w:pPr>
            <w:r w:rsidRPr="00323D5D">
              <w:rPr>
                <w:b/>
                <w:bCs/>
                <w:color w:val="000000"/>
                <w:szCs w:val="22"/>
              </w:rPr>
              <w:t>2025</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center"/>
              <w:rPr>
                <w:b/>
                <w:bCs/>
                <w:color w:val="000000"/>
                <w:szCs w:val="22"/>
              </w:rPr>
            </w:pPr>
            <w:r w:rsidRPr="00323D5D">
              <w:rPr>
                <w:b/>
                <w:bCs/>
                <w:color w:val="000000"/>
                <w:szCs w:val="22"/>
              </w:rPr>
              <w:t>2030</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center"/>
              <w:rPr>
                <w:b/>
                <w:bCs/>
                <w:color w:val="000000"/>
                <w:szCs w:val="22"/>
              </w:rPr>
            </w:pPr>
            <w:r w:rsidRPr="00323D5D">
              <w:rPr>
                <w:b/>
                <w:bCs/>
                <w:color w:val="000000"/>
                <w:szCs w:val="22"/>
              </w:rPr>
              <w:t>2035</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center"/>
              <w:rPr>
                <w:b/>
                <w:bCs/>
                <w:color w:val="000000"/>
                <w:szCs w:val="22"/>
              </w:rPr>
            </w:pPr>
            <w:r w:rsidRPr="00323D5D">
              <w:rPr>
                <w:b/>
                <w:bCs/>
                <w:color w:val="000000"/>
                <w:szCs w:val="22"/>
              </w:rPr>
              <w:t>2040</w:t>
            </w:r>
          </w:p>
        </w:tc>
      </w:tr>
      <w:tr w:rsidR="00811743" w:rsidRPr="00323D5D" w:rsidTr="00811743">
        <w:trPr>
          <w:trHeight w:val="288"/>
        </w:trPr>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rPr>
                <w:color w:val="000000"/>
                <w:szCs w:val="22"/>
              </w:rPr>
            </w:pPr>
            <w:r w:rsidRPr="00323D5D">
              <w:rPr>
                <w:color w:val="000000"/>
                <w:szCs w:val="22"/>
              </w:rPr>
              <w:t>Baseline</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77,801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82,161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86,765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91,627 </w:t>
            </w:r>
          </w:p>
        </w:tc>
        <w:tc>
          <w:tcPr>
            <w:tcW w:w="631"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96,761 </w:t>
            </w:r>
          </w:p>
        </w:tc>
      </w:tr>
      <w:tr w:rsidR="00811743" w:rsidRPr="00323D5D" w:rsidTr="00811743">
        <w:trPr>
          <w:trHeight w:val="288"/>
        </w:trPr>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rPr>
                <w:color w:val="000000"/>
                <w:szCs w:val="22"/>
              </w:rPr>
            </w:pPr>
            <w:r w:rsidRPr="00323D5D">
              <w:rPr>
                <w:color w:val="000000"/>
                <w:szCs w:val="22"/>
              </w:rPr>
              <w:t xml:space="preserve">Build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73,225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76,369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79,648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83,068 </w:t>
            </w:r>
          </w:p>
        </w:tc>
        <w:tc>
          <w:tcPr>
            <w:tcW w:w="631"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86,635 </w:t>
            </w:r>
          </w:p>
        </w:tc>
      </w:tr>
      <w:tr w:rsidR="00811743" w:rsidRPr="00323D5D" w:rsidTr="00811743">
        <w:trPr>
          <w:trHeight w:val="288"/>
        </w:trPr>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rPr>
                <w:color w:val="000000"/>
                <w:szCs w:val="22"/>
              </w:rPr>
            </w:pPr>
            <w:r w:rsidRPr="00323D5D">
              <w:rPr>
                <w:color w:val="000000"/>
                <w:szCs w:val="22"/>
              </w:rPr>
              <w:t>Decrease in Traffic Volumes</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4,577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5,792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7,117 </w:t>
            </w:r>
          </w:p>
        </w:tc>
        <w:tc>
          <w:tcPr>
            <w:tcW w:w="632"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8,559 </w:t>
            </w:r>
          </w:p>
        </w:tc>
        <w:tc>
          <w:tcPr>
            <w:tcW w:w="631" w:type="pct"/>
            <w:tcBorders>
              <w:top w:val="nil"/>
              <w:left w:val="nil"/>
              <w:bottom w:val="single" w:sz="4" w:space="0" w:color="auto"/>
              <w:right w:val="single" w:sz="4" w:space="0" w:color="auto"/>
            </w:tcBorders>
            <w:shd w:val="clear" w:color="auto" w:fill="auto"/>
            <w:noWrap/>
            <w:vAlign w:val="bottom"/>
            <w:hideMark/>
          </w:tcPr>
          <w:p w:rsidR="00811743" w:rsidRPr="00323D5D" w:rsidRDefault="00811743" w:rsidP="00811743">
            <w:pPr>
              <w:spacing w:line="240" w:lineRule="auto"/>
              <w:jc w:val="right"/>
              <w:rPr>
                <w:color w:val="000000"/>
                <w:szCs w:val="22"/>
              </w:rPr>
            </w:pPr>
            <w:r w:rsidRPr="00323D5D">
              <w:rPr>
                <w:color w:val="000000"/>
                <w:szCs w:val="22"/>
              </w:rPr>
              <w:t xml:space="preserve">10,127 </w:t>
            </w:r>
          </w:p>
        </w:tc>
      </w:tr>
    </w:tbl>
    <w:p w:rsidR="009C3165" w:rsidRPr="006A21C2" w:rsidRDefault="00811743" w:rsidP="003266B1">
      <w:pPr>
        <w:pStyle w:val="BodyText"/>
        <w:rPr>
          <w:sz w:val="16"/>
          <w:szCs w:val="16"/>
        </w:rPr>
      </w:pPr>
      <w:r w:rsidRPr="006A21C2">
        <w:rPr>
          <w:sz w:val="16"/>
          <w:szCs w:val="16"/>
        </w:rPr>
        <w:t>Source: CDM – Smith (2016), Muller (2014), AECOM</w:t>
      </w:r>
    </w:p>
    <w:p w:rsidR="00352901" w:rsidRPr="00323D5D" w:rsidRDefault="00352901" w:rsidP="00352901">
      <w:pPr>
        <w:pStyle w:val="Heading4"/>
      </w:pPr>
      <w:bookmarkStart w:id="90" w:name="_Toc448780310"/>
      <w:r w:rsidRPr="00323D5D">
        <w:t>Travel Demand Sources and Forecast Years</w:t>
      </w:r>
      <w:bookmarkEnd w:id="90"/>
    </w:p>
    <w:p w:rsidR="00352901" w:rsidRPr="00323D5D" w:rsidRDefault="00352901" w:rsidP="00352901">
      <w:pPr>
        <w:pStyle w:val="BodyText"/>
      </w:pPr>
      <w:r w:rsidRPr="00323D5D">
        <w:t xml:space="preserve">The travel demand data used in this analysis was extracted from aforementioned studies conducted in 2014 and 2016 by Muller and CDM-Smith, respectively.  These studies in turn utilized the travel demand models (COMPASS) from the Denver Regional Council of Governments (DRCOG) and North Front Range Metropolitan Planning Organization (NFRMPO) as the basis for developing their traffic and revenue travel demand model. </w:t>
      </w:r>
    </w:p>
    <w:p w:rsidR="00352901" w:rsidRPr="00323D5D" w:rsidRDefault="00352901" w:rsidP="00352901">
      <w:pPr>
        <w:pStyle w:val="BodyText"/>
      </w:pPr>
      <w:r w:rsidRPr="00323D5D">
        <w:t xml:space="preserve">Scenarios used for the analysis were the no-action (baseline) and Scenario 3c (build scenario) from the T&amp;R Study.  Both scenarios forecast average weekday trips within the corridor and travel times within the assessment corridor for 2015, 2025 and 2035.  The build scenario forecasts travel times for both the assessment corridor’s managed and general purpose lanes.   </w:t>
      </w:r>
    </w:p>
    <w:p w:rsidR="00352901" w:rsidRDefault="00352901" w:rsidP="00023173">
      <w:pPr>
        <w:pStyle w:val="Heading4"/>
      </w:pPr>
      <w:bookmarkStart w:id="91" w:name="_Toc448780311"/>
      <w:r>
        <w:t xml:space="preserve">Bicycle </w:t>
      </w:r>
      <w:r w:rsidR="004803AA">
        <w:t xml:space="preserve">Commuter </w:t>
      </w:r>
      <w:r>
        <w:t>Data</w:t>
      </w:r>
      <w:bookmarkEnd w:id="91"/>
    </w:p>
    <w:p w:rsidR="004803AA" w:rsidRDefault="00352901" w:rsidP="00352901">
      <w:pPr>
        <w:pStyle w:val="BodyText"/>
      </w:pPr>
      <w:r>
        <w:t xml:space="preserve">Projected ridership for bike commuters utilizing the Poudre River trail connection enabling them </w:t>
      </w:r>
      <w:r w:rsidR="004803AA">
        <w:t xml:space="preserve">to commute to/from Fort Collins from </w:t>
      </w:r>
      <w:r>
        <w:t>Windsor and Greely was developed by Atkins</w:t>
      </w:r>
      <w:r w:rsidR="00F3566B">
        <w:rPr>
          <w:rStyle w:val="FootnoteReference"/>
        </w:rPr>
        <w:footnoteReference w:id="3"/>
      </w:r>
      <w:r w:rsidR="004803AA">
        <w:t xml:space="preserve">.  Their </w:t>
      </w:r>
      <w:r>
        <w:t xml:space="preserve">analysis utilized </w:t>
      </w:r>
      <w:r w:rsidR="004803AA">
        <w:t>a variety of US Census Bureau data</w:t>
      </w:r>
      <w:r w:rsidR="004803AA">
        <w:rPr>
          <w:rStyle w:val="FootnoteReference"/>
        </w:rPr>
        <w:footnoteReference w:id="4"/>
      </w:r>
      <w:r w:rsidR="004803AA">
        <w:t xml:space="preserve"> coupled with Colorado Department of Health demographic information to estimate bike commuters.  Atkin’s forecasts estimate a current range of bicycle commuters between the cities of </w:t>
      </w:r>
      <w:proofErr w:type="gramStart"/>
      <w:r w:rsidR="004803AA">
        <w:t>between 35-150</w:t>
      </w:r>
      <w:proofErr w:type="gramEnd"/>
      <w:r w:rsidR="004803AA">
        <w:t>.  For the BCA analysis, an assumption of 90 round trips per day</w:t>
      </w:r>
      <w:r w:rsidR="00F3566B">
        <w:t xml:space="preserve"> was used</w:t>
      </w:r>
      <w:r w:rsidR="004803AA">
        <w:t xml:space="preserve">, split evenly between those commuting to Fort Collins from Windsor and from Greeley.  </w:t>
      </w:r>
    </w:p>
    <w:p w:rsidR="004803AA" w:rsidRDefault="004803AA" w:rsidP="00352901">
      <w:pPr>
        <w:pStyle w:val="BodyText"/>
      </w:pPr>
      <w:r>
        <w:t>The bicycle commuting analysis assumes annual growth in commuters of 2.2% in line with the assumed growth rate of the North Front Range travel demand model.  This assumption sees the number of bicycle commuters using the Poudre River Trail rise to</w:t>
      </w:r>
      <w:r w:rsidR="009733E7">
        <w:t xml:space="preserve"> approximately 160 </w:t>
      </w:r>
      <w:r>
        <w:t xml:space="preserve">by the end of the assessment period.  </w:t>
      </w:r>
    </w:p>
    <w:p w:rsidR="009733E7" w:rsidRDefault="009733E7" w:rsidP="00352901">
      <w:pPr>
        <w:pStyle w:val="BodyText"/>
      </w:pPr>
      <w:r>
        <w:t xml:space="preserve">Given the section of the trail completing the Poudre River Trail does not exist in the baseline study, all bicycle commuters using this trail in the build scenario are considered </w:t>
      </w:r>
      <w:r w:rsidR="00F3566B">
        <w:t xml:space="preserve">to be part of the </w:t>
      </w:r>
      <w:r>
        <w:t>mode shift from single passenger vehicles</w:t>
      </w:r>
      <w:r w:rsidR="00F3566B">
        <w:t xml:space="preserve"> to other forms of transportation</w:t>
      </w:r>
      <w:r>
        <w:t>.</w:t>
      </w:r>
      <w:r w:rsidR="00FC1390">
        <w:t xml:space="preserve">  Accordingly, the impacts and benefits delivered from this mode shift to bicycle has been assessed along other forms of mode shift (to carpooling and </w:t>
      </w:r>
      <w:proofErr w:type="spellStart"/>
      <w:r w:rsidR="00FC1390">
        <w:t>Bustang</w:t>
      </w:r>
      <w:proofErr w:type="spellEnd"/>
      <w:r w:rsidR="00FC1390">
        <w:t xml:space="preserve">).  </w:t>
      </w:r>
    </w:p>
    <w:p w:rsidR="00023173" w:rsidRPr="00323D5D" w:rsidRDefault="00023173" w:rsidP="00023173">
      <w:pPr>
        <w:pStyle w:val="Heading4"/>
      </w:pPr>
      <w:bookmarkStart w:id="92" w:name="_Toc448780312"/>
      <w:r w:rsidRPr="00323D5D">
        <w:t>Travel Time Savings</w:t>
      </w:r>
      <w:bookmarkEnd w:id="92"/>
      <w:r w:rsidRPr="00323D5D">
        <w:t xml:space="preserve"> </w:t>
      </w:r>
    </w:p>
    <w:p w:rsidR="00023173" w:rsidRPr="00323D5D" w:rsidRDefault="00023173" w:rsidP="00023173">
      <w:pPr>
        <w:pStyle w:val="BodyText"/>
      </w:pPr>
      <w:r w:rsidRPr="00323D5D">
        <w:t xml:space="preserve">Travel time savings estimations were derived from Muller’s 2014 </w:t>
      </w:r>
      <w:r>
        <w:t>study</w:t>
      </w:r>
      <w:r w:rsidRPr="00323D5D">
        <w:t xml:space="preserve">.  Travel times were estimated for both north- and southbound traffic for the entire length of the assessment corridor.  </w:t>
      </w:r>
      <w:r>
        <w:t>Travel time</w:t>
      </w:r>
      <w:r w:rsidRPr="00323D5D">
        <w:t xml:space="preserve"> savings for 2020 and 2030 were interpolated from the 2015 and 2025 estimates; 2040 </w:t>
      </w:r>
      <w:r>
        <w:t>travel time</w:t>
      </w:r>
      <w:r w:rsidRPr="00323D5D">
        <w:t xml:space="preserve"> savings were </w:t>
      </w:r>
      <w:r w:rsidRPr="00323D5D">
        <w:lastRenderedPageBreak/>
        <w:t xml:space="preserve">extrapolated from 2035 data.  Table </w:t>
      </w:r>
      <w:r w:rsidR="00F3566B">
        <w:t>3</w:t>
      </w:r>
      <w:r w:rsidRPr="00323D5D">
        <w:t xml:space="preserve"> provides an overview of the travel times and the time savings across the assessment period by direction of travel. </w:t>
      </w:r>
    </w:p>
    <w:p w:rsidR="00023173" w:rsidRPr="00323D5D" w:rsidRDefault="00023173" w:rsidP="00023173">
      <w:pPr>
        <w:pStyle w:val="BodyText"/>
        <w:spacing w:after="0"/>
        <w:jc w:val="center"/>
        <w:rPr>
          <w:b/>
          <w:sz w:val="18"/>
          <w:szCs w:val="18"/>
        </w:rPr>
      </w:pPr>
      <w:r w:rsidRPr="00323D5D">
        <w:rPr>
          <w:b/>
          <w:sz w:val="18"/>
          <w:szCs w:val="18"/>
        </w:rPr>
        <w:t xml:space="preserve">Table </w:t>
      </w:r>
      <w:r w:rsidR="00F3566B">
        <w:rPr>
          <w:b/>
          <w:sz w:val="18"/>
          <w:szCs w:val="18"/>
        </w:rPr>
        <w:t>3</w:t>
      </w:r>
      <w:r w:rsidRPr="00323D5D">
        <w:rPr>
          <w:b/>
          <w:sz w:val="18"/>
          <w:szCs w:val="18"/>
        </w:rPr>
        <w:t xml:space="preserve">: Travel Times and Savings </w:t>
      </w:r>
      <w:proofErr w:type="gramStart"/>
      <w:r w:rsidR="00F63E8F">
        <w:rPr>
          <w:b/>
          <w:sz w:val="18"/>
          <w:szCs w:val="18"/>
        </w:rPr>
        <w:t>During</w:t>
      </w:r>
      <w:proofErr w:type="gramEnd"/>
      <w:r w:rsidR="00F63E8F">
        <w:rPr>
          <w:b/>
          <w:sz w:val="18"/>
          <w:szCs w:val="18"/>
        </w:rPr>
        <w:t xml:space="preserve"> Peak and Shoulder Periods </w:t>
      </w:r>
      <w:r w:rsidRPr="00323D5D">
        <w:rPr>
          <w:b/>
          <w:sz w:val="18"/>
          <w:szCs w:val="18"/>
        </w:rPr>
        <w:t>(2020-2040)</w:t>
      </w:r>
    </w:p>
    <w:tbl>
      <w:tblPr>
        <w:tblW w:w="5000" w:type="pct"/>
        <w:tblLayout w:type="fixed"/>
        <w:tblLook w:val="04A0" w:firstRow="1" w:lastRow="0" w:firstColumn="1" w:lastColumn="0" w:noHBand="0" w:noVBand="1"/>
      </w:tblPr>
      <w:tblGrid>
        <w:gridCol w:w="1242"/>
        <w:gridCol w:w="1173"/>
        <w:gridCol w:w="717"/>
        <w:gridCol w:w="718"/>
        <w:gridCol w:w="716"/>
        <w:gridCol w:w="718"/>
        <w:gridCol w:w="716"/>
        <w:gridCol w:w="716"/>
        <w:gridCol w:w="716"/>
        <w:gridCol w:w="716"/>
        <w:gridCol w:w="716"/>
        <w:gridCol w:w="712"/>
      </w:tblGrid>
      <w:tr w:rsidR="00023173" w:rsidRPr="00323D5D" w:rsidTr="00184258">
        <w:trPr>
          <w:trHeight w:val="288"/>
        </w:trPr>
        <w:tc>
          <w:tcPr>
            <w:tcW w:w="126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 </w:t>
            </w:r>
          </w:p>
        </w:tc>
        <w:tc>
          <w:tcPr>
            <w:tcW w:w="749" w:type="pct"/>
            <w:gridSpan w:val="2"/>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2020</w:t>
            </w:r>
          </w:p>
        </w:tc>
        <w:tc>
          <w:tcPr>
            <w:tcW w:w="749" w:type="pct"/>
            <w:gridSpan w:val="2"/>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2025</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2030</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2035</w:t>
            </w:r>
          </w:p>
        </w:tc>
        <w:tc>
          <w:tcPr>
            <w:tcW w:w="746" w:type="pct"/>
            <w:gridSpan w:val="2"/>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2040</w:t>
            </w:r>
          </w:p>
        </w:tc>
      </w:tr>
      <w:tr w:rsidR="00023173" w:rsidRPr="00323D5D" w:rsidTr="00184258">
        <w:trPr>
          <w:trHeight w:val="288"/>
        </w:trPr>
        <w:tc>
          <w:tcPr>
            <w:tcW w:w="1260" w:type="pct"/>
            <w:gridSpan w:val="2"/>
            <w:vMerge/>
            <w:tcBorders>
              <w:top w:val="single" w:sz="4" w:space="0" w:color="auto"/>
              <w:left w:val="single" w:sz="4" w:space="0" w:color="auto"/>
              <w:bottom w:val="single" w:sz="4" w:space="0" w:color="000000"/>
              <w:right w:val="single" w:sz="4" w:space="0" w:color="000000"/>
            </w:tcBorders>
            <w:vAlign w:val="center"/>
            <w:hideMark/>
          </w:tcPr>
          <w:p w:rsidR="00023173" w:rsidRPr="00323D5D" w:rsidRDefault="00023173" w:rsidP="00184258">
            <w:pPr>
              <w:spacing w:line="240" w:lineRule="auto"/>
              <w:rPr>
                <w:color w:val="000000"/>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NB</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NB</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NB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NB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NB</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SB</w:t>
            </w:r>
          </w:p>
        </w:tc>
      </w:tr>
      <w:tr w:rsidR="00023173" w:rsidRPr="00323D5D" w:rsidTr="00184258">
        <w:trPr>
          <w:trHeight w:val="288"/>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r w:rsidRPr="00323D5D">
              <w:rPr>
                <w:b/>
                <w:bCs/>
                <w:color w:val="000000"/>
                <w:szCs w:val="22"/>
              </w:rPr>
              <w:t>Scenario</w:t>
            </w: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r w:rsidRPr="00323D5D">
              <w:rPr>
                <w:b/>
                <w:bCs/>
                <w:color w:val="000000"/>
                <w:szCs w:val="22"/>
              </w:rPr>
              <w:t>Lane Type</w:t>
            </w:r>
          </w:p>
        </w:tc>
        <w:tc>
          <w:tcPr>
            <w:tcW w:w="3740" w:type="pct"/>
            <w:gridSpan w:val="10"/>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color w:val="000000"/>
                <w:szCs w:val="22"/>
              </w:rPr>
            </w:pPr>
            <w:r w:rsidRPr="00323D5D">
              <w:rPr>
                <w:b/>
                <w:color w:val="000000"/>
                <w:szCs w:val="22"/>
              </w:rPr>
              <w:t>Travel Time for Corridor (Minutes)</w:t>
            </w:r>
          </w:p>
        </w:tc>
      </w:tr>
      <w:tr w:rsidR="00023173" w:rsidRPr="00323D5D" w:rsidTr="00184258">
        <w:trPr>
          <w:trHeight w:val="288"/>
        </w:trPr>
        <w:tc>
          <w:tcPr>
            <w:tcW w:w="648" w:type="pct"/>
            <w:tcBorders>
              <w:top w:val="nil"/>
              <w:left w:val="single" w:sz="4" w:space="0" w:color="auto"/>
              <w:bottom w:val="single" w:sz="4" w:space="0" w:color="000000"/>
              <w:right w:val="single" w:sz="4" w:space="0" w:color="auto"/>
            </w:tcBorders>
            <w:shd w:val="clear" w:color="auto" w:fill="auto"/>
            <w:noWrap/>
            <w:vAlign w:val="center"/>
            <w:hideMark/>
          </w:tcPr>
          <w:p w:rsidR="00023173" w:rsidRPr="00323D5D" w:rsidRDefault="00023173" w:rsidP="00184258">
            <w:pPr>
              <w:spacing w:line="240" w:lineRule="auto"/>
              <w:jc w:val="center"/>
              <w:rPr>
                <w:color w:val="000000"/>
                <w:szCs w:val="22"/>
              </w:rPr>
            </w:pPr>
            <w:r w:rsidRPr="00323D5D">
              <w:rPr>
                <w:color w:val="000000"/>
                <w:szCs w:val="22"/>
              </w:rPr>
              <w:t>Baseline</w:t>
            </w: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18.7</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16.3</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20.4</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17.7</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22.2</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17.2</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22.7</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17.6</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23.3</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18.9</w:t>
            </w:r>
          </w:p>
        </w:tc>
      </w:tr>
      <w:tr w:rsidR="00023173" w:rsidRPr="00323D5D" w:rsidTr="00184258">
        <w:trPr>
          <w:trHeight w:val="288"/>
        </w:trPr>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23173" w:rsidRPr="00323D5D" w:rsidRDefault="00023173" w:rsidP="00184258">
            <w:pPr>
              <w:spacing w:line="240" w:lineRule="auto"/>
              <w:jc w:val="center"/>
              <w:rPr>
                <w:color w:val="000000"/>
                <w:szCs w:val="22"/>
              </w:rPr>
            </w:pPr>
            <w:r w:rsidRPr="00323D5D">
              <w:rPr>
                <w:color w:val="000000"/>
                <w:szCs w:val="22"/>
              </w:rPr>
              <w:t>Build</w:t>
            </w: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17.0</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15.8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18.6</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17.2</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17.4</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16.4</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16.8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21.6</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17.0</w:t>
            </w:r>
          </w:p>
        </w:tc>
      </w:tr>
      <w:tr w:rsidR="00023173" w:rsidRPr="00323D5D" w:rsidTr="00184258">
        <w:trPr>
          <w:trHeight w:val="288"/>
        </w:trPr>
        <w:tc>
          <w:tcPr>
            <w:tcW w:w="648" w:type="pct"/>
            <w:vMerge/>
            <w:tcBorders>
              <w:top w:val="nil"/>
              <w:left w:val="single" w:sz="4" w:space="0" w:color="auto"/>
              <w:bottom w:val="single" w:sz="4" w:space="0" w:color="000000"/>
              <w:right w:val="single" w:sz="4" w:space="0" w:color="auto"/>
            </w:tcBorders>
            <w:vAlign w:val="center"/>
            <w:hideMark/>
          </w:tcPr>
          <w:p w:rsidR="00023173" w:rsidRPr="00323D5D" w:rsidRDefault="00023173" w:rsidP="00184258">
            <w:pPr>
              <w:spacing w:line="240" w:lineRule="auto"/>
              <w:rPr>
                <w:color w:val="000000"/>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Managed Lane</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13.9</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13.7</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15.2</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14.9</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14.1</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13.9</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14.5</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14.2</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15.2</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color w:val="000000"/>
                <w:szCs w:val="22"/>
              </w:rPr>
            </w:pPr>
            <w:r w:rsidRPr="00323D5D">
              <w:rPr>
                <w:color w:val="000000"/>
                <w:szCs w:val="22"/>
              </w:rPr>
              <w:t>14.1</w:t>
            </w:r>
          </w:p>
        </w:tc>
      </w:tr>
      <w:tr w:rsidR="00023173" w:rsidRPr="00323D5D" w:rsidTr="00184258">
        <w:trPr>
          <w:trHeight w:val="288"/>
        </w:trPr>
        <w:tc>
          <w:tcPr>
            <w:tcW w:w="648" w:type="pct"/>
            <w:vMerge w:val="restart"/>
            <w:tcBorders>
              <w:top w:val="nil"/>
              <w:left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r w:rsidRPr="00323D5D">
              <w:rPr>
                <w:b/>
                <w:bCs/>
                <w:color w:val="000000"/>
                <w:szCs w:val="22"/>
              </w:rPr>
              <w:t>Travel Time Savings</w:t>
            </w:r>
          </w:p>
          <w:p w:rsidR="00023173" w:rsidRPr="00323D5D" w:rsidRDefault="00023173" w:rsidP="00184258">
            <w:pPr>
              <w:spacing w:line="240" w:lineRule="auto"/>
              <w:rPr>
                <w:b/>
                <w:bCs/>
                <w:color w:val="000000"/>
                <w:szCs w:val="22"/>
              </w:rPr>
            </w:pPr>
            <w:r w:rsidRPr="00323D5D">
              <w:rPr>
                <w:b/>
                <w:bCs/>
                <w:color w:val="000000"/>
                <w:szCs w:val="22"/>
              </w:rPr>
              <w:t> </w:t>
            </w: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r w:rsidRPr="00323D5D">
              <w:rPr>
                <w:b/>
                <w:bCs/>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1.6</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0.5</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1.8</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0.5</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4.8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0.8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4.9</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0.8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1.7</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1.9</w:t>
            </w:r>
          </w:p>
        </w:tc>
      </w:tr>
      <w:tr w:rsidR="00023173" w:rsidRPr="00323D5D" w:rsidTr="00184258">
        <w:trPr>
          <w:trHeight w:val="79"/>
        </w:trPr>
        <w:tc>
          <w:tcPr>
            <w:tcW w:w="648" w:type="pct"/>
            <w:vMerge/>
            <w:tcBorders>
              <w:left w:val="single" w:sz="4" w:space="0" w:color="auto"/>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b/>
                <w:bCs/>
                <w:color w:val="000000"/>
                <w:szCs w:val="22"/>
              </w:rPr>
            </w:pPr>
            <w:r w:rsidRPr="00323D5D">
              <w:rPr>
                <w:b/>
                <w:bCs/>
                <w:color w:val="000000"/>
                <w:szCs w:val="22"/>
              </w:rPr>
              <w:t>Managed Lane</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4.8</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2.6</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5.2</w:t>
            </w:r>
          </w:p>
        </w:tc>
        <w:tc>
          <w:tcPr>
            <w:tcW w:w="375"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2.8</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8.0</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3.3</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8.2</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8.1</w:t>
            </w:r>
          </w:p>
        </w:tc>
        <w:tc>
          <w:tcPr>
            <w:tcW w:w="372"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right"/>
              <w:rPr>
                <w:b/>
                <w:bCs/>
                <w:color w:val="000000"/>
                <w:szCs w:val="22"/>
              </w:rPr>
            </w:pPr>
            <w:r w:rsidRPr="00323D5D">
              <w:rPr>
                <w:b/>
                <w:bCs/>
                <w:color w:val="000000"/>
                <w:szCs w:val="22"/>
              </w:rPr>
              <w:t>4.8</w:t>
            </w:r>
          </w:p>
        </w:tc>
      </w:tr>
    </w:tbl>
    <w:p w:rsidR="00023173" w:rsidRPr="00323D5D" w:rsidRDefault="00023173" w:rsidP="00023173">
      <w:pPr>
        <w:pStyle w:val="BodyText"/>
        <w:rPr>
          <w:sz w:val="16"/>
          <w:szCs w:val="16"/>
        </w:rPr>
      </w:pPr>
      <w:r w:rsidRPr="00323D5D">
        <w:rPr>
          <w:sz w:val="16"/>
          <w:szCs w:val="16"/>
        </w:rPr>
        <w:t>Source: Muller (2014), AECOM</w:t>
      </w:r>
    </w:p>
    <w:p w:rsidR="00BC105F" w:rsidRPr="00323D5D" w:rsidRDefault="00F419FF" w:rsidP="006A21C2">
      <w:pPr>
        <w:pStyle w:val="Heading4"/>
      </w:pPr>
      <w:bookmarkStart w:id="93" w:name="_Toc448780313"/>
      <w:proofErr w:type="spellStart"/>
      <w:r w:rsidRPr="00323D5D">
        <w:t>Annualization</w:t>
      </w:r>
      <w:proofErr w:type="spellEnd"/>
      <w:r w:rsidRPr="00323D5D">
        <w:t xml:space="preserve"> Factor</w:t>
      </w:r>
      <w:bookmarkEnd w:id="93"/>
      <w:r w:rsidRPr="00323D5D">
        <w:t xml:space="preserve"> </w:t>
      </w:r>
    </w:p>
    <w:p w:rsidR="00BC105F" w:rsidRPr="00323D5D" w:rsidRDefault="00BC105F" w:rsidP="00651623">
      <w:pPr>
        <w:pStyle w:val="BodyText"/>
      </w:pPr>
      <w:r w:rsidRPr="00323D5D">
        <w:t xml:space="preserve">This analysis considers various benefits and costs resulting from changes to the commuter bus service </w:t>
      </w:r>
      <w:proofErr w:type="spellStart"/>
      <w:r w:rsidRPr="00323D5D">
        <w:t>Bustang</w:t>
      </w:r>
      <w:proofErr w:type="spellEnd"/>
      <w:r w:rsidRPr="00323D5D">
        <w:t xml:space="preserve">, which provides express bus services between the </w:t>
      </w:r>
      <w:r w:rsidR="0049339C">
        <w:t xml:space="preserve">three locations in the </w:t>
      </w:r>
      <w:r w:rsidRPr="00323D5D">
        <w:t xml:space="preserve">assessment corridor </w:t>
      </w:r>
      <w:r w:rsidR="0049339C">
        <w:t xml:space="preserve">(Fort Collins, Harmony Road and US34/I25 Interchange) </w:t>
      </w:r>
      <w:r w:rsidRPr="00323D5D">
        <w:t xml:space="preserve">and downtown Denver.  As </w:t>
      </w:r>
      <w:proofErr w:type="spellStart"/>
      <w:r w:rsidRPr="00323D5D">
        <w:t>Bustang</w:t>
      </w:r>
      <w:proofErr w:type="spellEnd"/>
      <w:r w:rsidRPr="00323D5D">
        <w:t xml:space="preserve"> does not operate on weekends or holidays, an </w:t>
      </w:r>
      <w:proofErr w:type="spellStart"/>
      <w:r w:rsidRPr="00323D5D">
        <w:t>annualization</w:t>
      </w:r>
      <w:proofErr w:type="spellEnd"/>
      <w:r w:rsidRPr="00323D5D">
        <w:t xml:space="preserve"> factor of 2</w:t>
      </w:r>
      <w:r w:rsidR="00F419FF" w:rsidRPr="00323D5D">
        <w:t>6</w:t>
      </w:r>
      <w:r w:rsidRPr="00323D5D">
        <w:t>0 days of weekday operations per annum has been assumed</w:t>
      </w:r>
      <w:r w:rsidR="00F419FF" w:rsidRPr="00323D5D">
        <w:t xml:space="preserve">.  This same </w:t>
      </w:r>
      <w:proofErr w:type="spellStart"/>
      <w:r w:rsidR="00F419FF" w:rsidRPr="00323D5D">
        <w:t>annualization</w:t>
      </w:r>
      <w:proofErr w:type="spellEnd"/>
      <w:r w:rsidR="00F419FF" w:rsidRPr="00323D5D">
        <w:t xml:space="preserve"> factor was used by CDM</w:t>
      </w:r>
      <w:r w:rsidR="00D807A7">
        <w:t>-</w:t>
      </w:r>
      <w:r w:rsidR="00F419FF" w:rsidRPr="00323D5D">
        <w:t>Smith and Atkins when developing forecasts of traffic volumes and tolling revenue, respectively, within the assessment corridor</w:t>
      </w:r>
    </w:p>
    <w:p w:rsidR="00384B93" w:rsidRPr="00323D5D" w:rsidRDefault="00384B93" w:rsidP="006A21C2">
      <w:pPr>
        <w:pStyle w:val="Heading4"/>
      </w:pPr>
      <w:bookmarkStart w:id="94" w:name="_Toc448780314"/>
      <w:r w:rsidRPr="00323D5D">
        <w:t>Value of Time</w:t>
      </w:r>
      <w:bookmarkEnd w:id="94"/>
      <w:r w:rsidRPr="00323D5D">
        <w:t xml:space="preserve"> </w:t>
      </w:r>
    </w:p>
    <w:p w:rsidR="00BC105F" w:rsidRDefault="0049339C" w:rsidP="00651623">
      <w:pPr>
        <w:pStyle w:val="BodyText"/>
      </w:pPr>
      <w:r>
        <w:t>T</w:t>
      </w:r>
      <w:r w:rsidRPr="00323D5D">
        <w:t xml:space="preserve">ravel </w:t>
      </w:r>
      <w:r>
        <w:t>t</w:t>
      </w:r>
      <w:r w:rsidR="00BC105F" w:rsidRPr="00323D5D">
        <w:t xml:space="preserve">ime savings are converted from hours to dollars.  This is performed by assuming that travel time is valued as a percentage of the average wage rate, with different percentages assigned to different trip purposes.  </w:t>
      </w:r>
      <w:r w:rsidR="00E67DB0" w:rsidRPr="00323D5D">
        <w:t xml:space="preserve"> This analysis has used the DOT</w:t>
      </w:r>
      <w:r>
        <w:t>’s</w:t>
      </w:r>
      <w:r w:rsidR="00E67DB0" w:rsidRPr="00323D5D">
        <w:t xml:space="preserve"> Recommended Hourly Value of Travel Time Savings</w:t>
      </w:r>
      <w:r w:rsidR="00E67DB0" w:rsidRPr="00323D5D">
        <w:rPr>
          <w:rStyle w:val="FootnoteReference"/>
        </w:rPr>
        <w:footnoteReference w:id="5"/>
      </w:r>
      <w:r w:rsidR="00E67DB0" w:rsidRPr="00323D5D">
        <w:t xml:space="preserve">, as shown below in Table </w:t>
      </w:r>
      <w:r w:rsidR="00F3566B">
        <w:t>4</w:t>
      </w:r>
      <w:r w:rsidR="006362E2" w:rsidRPr="00323D5D">
        <w:t xml:space="preserve">, and assumes the mix of personal and business travel to be consistent with </w:t>
      </w:r>
      <w:r w:rsidR="00DA141C" w:rsidRPr="00323D5D">
        <w:t>the DOT’s</w:t>
      </w:r>
      <w:r w:rsidR="006362E2" w:rsidRPr="00323D5D">
        <w:t xml:space="preserve"> national distribution for local travel by surface modes. </w:t>
      </w:r>
      <w:r w:rsidR="00E67DB0" w:rsidRPr="00323D5D">
        <w:t xml:space="preserve"> </w:t>
      </w:r>
      <w:r w:rsidR="006362E2" w:rsidRPr="00323D5D">
        <w:t xml:space="preserve">  </w:t>
      </w: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160EDE" w:rsidRPr="00323D5D" w:rsidRDefault="00160EDE" w:rsidP="00651623">
      <w:pPr>
        <w:pStyle w:val="BodyText"/>
      </w:pPr>
    </w:p>
    <w:p w:rsidR="00E67DB0" w:rsidRPr="00323D5D" w:rsidRDefault="00E67DB0" w:rsidP="00E274A4">
      <w:pPr>
        <w:pStyle w:val="BodyText"/>
        <w:spacing w:after="0"/>
        <w:jc w:val="center"/>
        <w:rPr>
          <w:b/>
          <w:sz w:val="18"/>
          <w:szCs w:val="18"/>
        </w:rPr>
      </w:pPr>
      <w:r w:rsidRPr="00323D5D">
        <w:rPr>
          <w:b/>
          <w:sz w:val="18"/>
          <w:szCs w:val="18"/>
        </w:rPr>
        <w:lastRenderedPageBreak/>
        <w:t xml:space="preserve">Table </w:t>
      </w:r>
      <w:r w:rsidR="00F3566B">
        <w:rPr>
          <w:b/>
          <w:sz w:val="18"/>
          <w:szCs w:val="18"/>
        </w:rPr>
        <w:t>4</w:t>
      </w:r>
      <w:r w:rsidRPr="00323D5D">
        <w:rPr>
          <w:b/>
          <w:sz w:val="18"/>
          <w:szCs w:val="18"/>
        </w:rPr>
        <w:t>: Hourl</w:t>
      </w:r>
      <w:r w:rsidR="00651623" w:rsidRPr="00323D5D">
        <w:rPr>
          <w:b/>
          <w:sz w:val="18"/>
          <w:szCs w:val="18"/>
        </w:rPr>
        <w:t xml:space="preserve">y Values of Travel Time Savings, </w:t>
      </w:r>
      <w:r w:rsidR="00217D6B" w:rsidRPr="00323D5D">
        <w:rPr>
          <w:b/>
          <w:sz w:val="18"/>
          <w:szCs w:val="18"/>
        </w:rPr>
        <w:t>All</w:t>
      </w:r>
      <w:r w:rsidR="00651623" w:rsidRPr="00323D5D">
        <w:rPr>
          <w:b/>
          <w:sz w:val="18"/>
          <w:szCs w:val="18"/>
        </w:rPr>
        <w:t>-Commercial Drivers</w:t>
      </w:r>
    </w:p>
    <w:tbl>
      <w:tblPr>
        <w:tblStyle w:val="TableGrid"/>
        <w:tblW w:w="5000" w:type="pct"/>
        <w:jc w:val="center"/>
        <w:tblLook w:val="04A0" w:firstRow="1" w:lastRow="0" w:firstColumn="1" w:lastColumn="0" w:noHBand="0" w:noVBand="1"/>
      </w:tblPr>
      <w:tblGrid>
        <w:gridCol w:w="3528"/>
        <w:gridCol w:w="6048"/>
      </w:tblGrid>
      <w:tr w:rsidR="00E67DB0" w:rsidRPr="00323D5D" w:rsidTr="00FC1390">
        <w:trPr>
          <w:trHeight w:val="548"/>
          <w:jc w:val="center"/>
        </w:trPr>
        <w:tc>
          <w:tcPr>
            <w:tcW w:w="1842" w:type="pct"/>
            <w:vAlign w:val="center"/>
          </w:tcPr>
          <w:p w:rsidR="00E67DB0" w:rsidRPr="00323D5D" w:rsidRDefault="00E67DB0" w:rsidP="000806DC">
            <w:pPr>
              <w:pStyle w:val="BodyText"/>
              <w:jc w:val="left"/>
              <w:rPr>
                <w:b/>
              </w:rPr>
            </w:pPr>
            <w:r w:rsidRPr="00323D5D">
              <w:rPr>
                <w:b/>
              </w:rPr>
              <w:t>Category</w:t>
            </w:r>
            <w:r w:rsidR="00811743" w:rsidRPr="00323D5D">
              <w:rPr>
                <w:b/>
              </w:rPr>
              <w:t xml:space="preserve"> of Travel</w:t>
            </w:r>
          </w:p>
        </w:tc>
        <w:tc>
          <w:tcPr>
            <w:tcW w:w="3158" w:type="pct"/>
            <w:vAlign w:val="center"/>
          </w:tcPr>
          <w:p w:rsidR="00E67DB0" w:rsidRPr="00323D5D" w:rsidRDefault="00E67DB0" w:rsidP="000806DC">
            <w:pPr>
              <w:pStyle w:val="BodyText"/>
              <w:jc w:val="left"/>
              <w:rPr>
                <w:b/>
              </w:rPr>
            </w:pPr>
            <w:r w:rsidRPr="00323D5D">
              <w:rPr>
                <w:b/>
              </w:rPr>
              <w:t xml:space="preserve">Hourly Value of Travel Time Savings </w:t>
            </w:r>
            <w:r w:rsidR="00811743" w:rsidRPr="00323D5D">
              <w:t>($2016)</w:t>
            </w:r>
          </w:p>
        </w:tc>
      </w:tr>
      <w:tr w:rsidR="00E67DB0" w:rsidRPr="00323D5D" w:rsidTr="00FC1390">
        <w:trPr>
          <w:trHeight w:val="287"/>
          <w:jc w:val="center"/>
        </w:trPr>
        <w:tc>
          <w:tcPr>
            <w:tcW w:w="1842" w:type="pct"/>
            <w:vAlign w:val="center"/>
          </w:tcPr>
          <w:p w:rsidR="00E67DB0" w:rsidRPr="00323D5D" w:rsidRDefault="00E67DB0" w:rsidP="000806DC">
            <w:pPr>
              <w:pStyle w:val="BodyText"/>
              <w:jc w:val="left"/>
            </w:pPr>
            <w:r w:rsidRPr="00323D5D">
              <w:t>Personal</w:t>
            </w:r>
          </w:p>
        </w:tc>
        <w:tc>
          <w:tcPr>
            <w:tcW w:w="3158" w:type="pct"/>
            <w:vAlign w:val="center"/>
          </w:tcPr>
          <w:p w:rsidR="00E67DB0" w:rsidRPr="00323D5D" w:rsidRDefault="00E67DB0" w:rsidP="00FC1390">
            <w:pPr>
              <w:pStyle w:val="BodyText"/>
              <w:jc w:val="center"/>
            </w:pPr>
            <w:r w:rsidRPr="00323D5D">
              <w:t>$</w:t>
            </w:r>
            <w:r w:rsidR="006362E2" w:rsidRPr="00323D5D">
              <w:t xml:space="preserve"> 13.28</w:t>
            </w:r>
          </w:p>
        </w:tc>
      </w:tr>
      <w:tr w:rsidR="00E67DB0" w:rsidRPr="00323D5D" w:rsidTr="00FC1390">
        <w:trPr>
          <w:jc w:val="center"/>
        </w:trPr>
        <w:tc>
          <w:tcPr>
            <w:tcW w:w="1842" w:type="pct"/>
            <w:vAlign w:val="center"/>
          </w:tcPr>
          <w:p w:rsidR="00E67DB0" w:rsidRPr="00323D5D" w:rsidRDefault="00E67DB0" w:rsidP="000806DC">
            <w:pPr>
              <w:pStyle w:val="BodyText"/>
              <w:jc w:val="left"/>
            </w:pPr>
            <w:r w:rsidRPr="00323D5D">
              <w:t>Business</w:t>
            </w:r>
          </w:p>
        </w:tc>
        <w:tc>
          <w:tcPr>
            <w:tcW w:w="3158" w:type="pct"/>
            <w:vAlign w:val="center"/>
          </w:tcPr>
          <w:p w:rsidR="00E67DB0" w:rsidRPr="00323D5D" w:rsidRDefault="00E67DB0" w:rsidP="00FC1390">
            <w:pPr>
              <w:pStyle w:val="BodyText"/>
              <w:jc w:val="center"/>
            </w:pPr>
            <w:r w:rsidRPr="00323D5D">
              <w:t>$</w:t>
            </w:r>
            <w:r w:rsidR="006362E2" w:rsidRPr="00323D5D">
              <w:t>25.64</w:t>
            </w:r>
          </w:p>
        </w:tc>
      </w:tr>
      <w:tr w:rsidR="006362E2" w:rsidRPr="00323D5D" w:rsidTr="00FC1390">
        <w:trPr>
          <w:jc w:val="center"/>
        </w:trPr>
        <w:tc>
          <w:tcPr>
            <w:tcW w:w="1842" w:type="pct"/>
            <w:vAlign w:val="center"/>
          </w:tcPr>
          <w:p w:rsidR="006362E2" w:rsidRPr="00323D5D" w:rsidRDefault="006362E2" w:rsidP="000806DC">
            <w:pPr>
              <w:pStyle w:val="BodyText"/>
              <w:jc w:val="left"/>
            </w:pPr>
            <w:r w:rsidRPr="00323D5D">
              <w:t>All Purpose*</w:t>
            </w:r>
          </w:p>
        </w:tc>
        <w:tc>
          <w:tcPr>
            <w:tcW w:w="3158" w:type="pct"/>
            <w:vAlign w:val="center"/>
          </w:tcPr>
          <w:p w:rsidR="006362E2" w:rsidRPr="00323D5D" w:rsidRDefault="006362E2" w:rsidP="00FC1390">
            <w:pPr>
              <w:pStyle w:val="BodyText"/>
              <w:jc w:val="center"/>
            </w:pPr>
            <w:r w:rsidRPr="00323D5D">
              <w:t>$13.85</w:t>
            </w:r>
          </w:p>
        </w:tc>
      </w:tr>
      <w:tr w:rsidR="00FE1FA9" w:rsidRPr="00323D5D" w:rsidTr="00FC1390">
        <w:trPr>
          <w:jc w:val="center"/>
        </w:trPr>
        <w:tc>
          <w:tcPr>
            <w:tcW w:w="1842" w:type="pct"/>
            <w:vAlign w:val="center"/>
          </w:tcPr>
          <w:p w:rsidR="00FE1FA9" w:rsidRPr="00323D5D" w:rsidRDefault="00FE1FA9" w:rsidP="00394301">
            <w:pPr>
              <w:pStyle w:val="BodyText"/>
              <w:jc w:val="left"/>
            </w:pPr>
            <w:r w:rsidRPr="00323D5D">
              <w:t xml:space="preserve">Commercial Truck Driver </w:t>
            </w:r>
          </w:p>
        </w:tc>
        <w:tc>
          <w:tcPr>
            <w:tcW w:w="3158" w:type="pct"/>
            <w:vAlign w:val="center"/>
          </w:tcPr>
          <w:p w:rsidR="00FE1FA9" w:rsidRPr="00323D5D" w:rsidRDefault="00FE1FA9" w:rsidP="00FC1390">
            <w:pPr>
              <w:pStyle w:val="BodyText"/>
              <w:jc w:val="center"/>
            </w:pPr>
            <w:r w:rsidRPr="00323D5D">
              <w:t>$27.47</w:t>
            </w:r>
          </w:p>
        </w:tc>
      </w:tr>
    </w:tbl>
    <w:p w:rsidR="006362E2" w:rsidRPr="00323D5D" w:rsidRDefault="006362E2" w:rsidP="006A21C2">
      <w:pPr>
        <w:pStyle w:val="BodyText"/>
        <w:spacing w:after="0" w:line="240" w:lineRule="auto"/>
        <w:rPr>
          <w:sz w:val="16"/>
          <w:szCs w:val="16"/>
        </w:rPr>
      </w:pPr>
      <w:r w:rsidRPr="00323D5D">
        <w:rPr>
          <w:sz w:val="16"/>
          <w:szCs w:val="16"/>
        </w:rPr>
        <w:t>*Distribution for local travel by surface modes: 95.4% personal, 4.6% business.</w:t>
      </w:r>
    </w:p>
    <w:p w:rsidR="00BC105F" w:rsidRPr="00323D5D" w:rsidRDefault="00E67DB0" w:rsidP="006A21C2">
      <w:pPr>
        <w:pStyle w:val="BodyText"/>
        <w:spacing w:after="0" w:line="240" w:lineRule="auto"/>
        <w:rPr>
          <w:sz w:val="16"/>
          <w:szCs w:val="16"/>
        </w:rPr>
      </w:pPr>
      <w:r w:rsidRPr="00323D5D">
        <w:rPr>
          <w:sz w:val="16"/>
          <w:szCs w:val="16"/>
        </w:rPr>
        <w:t>Source: US Department of Transportation (2014)</w:t>
      </w:r>
    </w:p>
    <w:p w:rsidR="00DA141C" w:rsidRPr="00323D5D" w:rsidRDefault="00DA141C" w:rsidP="00651623">
      <w:pPr>
        <w:pStyle w:val="BodyText"/>
        <w:spacing w:after="0" w:line="240" w:lineRule="auto"/>
        <w:ind w:left="720" w:firstLine="720"/>
        <w:rPr>
          <w:sz w:val="16"/>
          <w:szCs w:val="16"/>
        </w:rPr>
      </w:pPr>
    </w:p>
    <w:p w:rsidR="00DA141C" w:rsidRPr="00323D5D" w:rsidRDefault="00E03980" w:rsidP="00651623">
      <w:pPr>
        <w:pStyle w:val="BodyText"/>
        <w:spacing w:after="0" w:line="240" w:lineRule="auto"/>
        <w:jc w:val="left"/>
        <w:rPr>
          <w:szCs w:val="22"/>
        </w:rPr>
      </w:pPr>
      <w:r>
        <w:rPr>
          <w:szCs w:val="22"/>
        </w:rPr>
        <w:t>As per the DOT’s guidance, a</w:t>
      </w:r>
      <w:r w:rsidR="00DA141C" w:rsidRPr="00323D5D">
        <w:rPr>
          <w:szCs w:val="22"/>
        </w:rPr>
        <w:t xml:space="preserve"> real growth rate of 1.</w:t>
      </w:r>
      <w:r>
        <w:rPr>
          <w:szCs w:val="22"/>
        </w:rPr>
        <w:t>2</w:t>
      </w:r>
      <w:r w:rsidR="00DA141C" w:rsidRPr="00323D5D">
        <w:rPr>
          <w:szCs w:val="22"/>
        </w:rPr>
        <w:t>% per annum has been</w:t>
      </w:r>
      <w:r w:rsidR="00E274A4" w:rsidRPr="00323D5D">
        <w:rPr>
          <w:szCs w:val="22"/>
        </w:rPr>
        <w:t xml:space="preserve"> assumed</w:t>
      </w:r>
      <w:r w:rsidR="00DA141C" w:rsidRPr="00323D5D">
        <w:rPr>
          <w:szCs w:val="22"/>
        </w:rPr>
        <w:t xml:space="preserve"> for the value of time </w:t>
      </w:r>
      <w:r w:rsidR="00651623" w:rsidRPr="00323D5D">
        <w:rPr>
          <w:szCs w:val="22"/>
        </w:rPr>
        <w:t xml:space="preserve">figures </w:t>
      </w:r>
      <w:r w:rsidR="00DA141C" w:rsidRPr="00323D5D">
        <w:rPr>
          <w:szCs w:val="22"/>
        </w:rPr>
        <w:t xml:space="preserve">and </w:t>
      </w:r>
      <w:r w:rsidR="00E274A4" w:rsidRPr="00323D5D">
        <w:rPr>
          <w:szCs w:val="22"/>
        </w:rPr>
        <w:t xml:space="preserve">is </w:t>
      </w:r>
      <w:r w:rsidR="00DA141C" w:rsidRPr="00323D5D">
        <w:rPr>
          <w:szCs w:val="22"/>
        </w:rPr>
        <w:t xml:space="preserve">applied to all years in the analysis after 2016. </w:t>
      </w:r>
    </w:p>
    <w:p w:rsidR="00DA141C" w:rsidRPr="00323D5D" w:rsidRDefault="00DA141C" w:rsidP="00651623">
      <w:pPr>
        <w:pStyle w:val="BodyText"/>
        <w:spacing w:after="0" w:line="240" w:lineRule="auto"/>
        <w:jc w:val="left"/>
        <w:rPr>
          <w:szCs w:val="22"/>
        </w:rPr>
      </w:pPr>
    </w:p>
    <w:p w:rsidR="007533C3" w:rsidRPr="00323D5D" w:rsidRDefault="007533C3" w:rsidP="006A21C2">
      <w:pPr>
        <w:pStyle w:val="Heading4"/>
      </w:pPr>
      <w:bookmarkStart w:id="95" w:name="_Toc448780315"/>
      <w:r w:rsidRPr="00323D5D">
        <w:t xml:space="preserve">Vehicle </w:t>
      </w:r>
      <w:r w:rsidR="001434B7">
        <w:t>M</w:t>
      </w:r>
      <w:r w:rsidRPr="00323D5D">
        <w:t xml:space="preserve">iles </w:t>
      </w:r>
      <w:r w:rsidR="001434B7">
        <w:t>T</w:t>
      </w:r>
      <w:r w:rsidRPr="00323D5D">
        <w:t>ravelled</w:t>
      </w:r>
      <w:bookmarkEnd w:id="95"/>
    </w:p>
    <w:p w:rsidR="007D7CAF" w:rsidRPr="00323D5D" w:rsidRDefault="00DA141C" w:rsidP="00651623">
      <w:pPr>
        <w:pStyle w:val="BodyText"/>
      </w:pPr>
      <w:r w:rsidRPr="00323D5D">
        <w:t xml:space="preserve">Vehicle miles </w:t>
      </w:r>
      <w:r w:rsidR="004F45BC" w:rsidRPr="00323D5D">
        <w:t xml:space="preserve">travelled (VMT) are used </w:t>
      </w:r>
      <w:r w:rsidR="009D40EB" w:rsidRPr="00323D5D">
        <w:t xml:space="preserve">in </w:t>
      </w:r>
      <w:r w:rsidR="004F45BC" w:rsidRPr="00323D5D">
        <w:t>a variety of benefits and costs categories including</w:t>
      </w:r>
      <w:r w:rsidR="000D088B" w:rsidRPr="00323D5D">
        <w:t>:</w:t>
      </w:r>
      <w:r w:rsidR="004F45BC" w:rsidRPr="00323D5D">
        <w:t xml:space="preserve"> safety, emissions, and operations and maintenance. </w:t>
      </w:r>
      <w:r w:rsidR="009526E8" w:rsidRPr="00323D5D">
        <w:t xml:space="preserve">In both the baseline and build scenarios, the total VMT for the assessment corridor is forecast to decrease over time, though at differing magnitudes. </w:t>
      </w:r>
      <w:r w:rsidR="003C3BD3" w:rsidRPr="00323D5D">
        <w:t>Personal vehicle</w:t>
      </w:r>
      <w:r w:rsidR="00E763DD" w:rsidRPr="00323D5D">
        <w:t xml:space="preserve"> </w:t>
      </w:r>
      <w:r w:rsidR="004F45BC" w:rsidRPr="00323D5D">
        <w:t xml:space="preserve">VMT was estimated </w:t>
      </w:r>
      <w:r w:rsidRPr="00323D5D">
        <w:t xml:space="preserve">by </w:t>
      </w:r>
      <w:r w:rsidR="004F45BC" w:rsidRPr="00323D5D">
        <w:t>assessing the number of forecast trips within the corridor, point of origin, and direction of travel</w:t>
      </w:r>
      <w:r w:rsidR="00E763DD" w:rsidRPr="00323D5D">
        <w:t>, and applying these</w:t>
      </w:r>
      <w:r w:rsidR="004F45BC" w:rsidRPr="00323D5D">
        <w:t xml:space="preserve"> to the distance travelled within the corridor</w:t>
      </w:r>
      <w:r w:rsidRPr="00323D5D">
        <w:t xml:space="preserve">. </w:t>
      </w:r>
      <w:r w:rsidR="00E763DD" w:rsidRPr="00323D5D">
        <w:t xml:space="preserve">Commercial truck VMT was estimated </w:t>
      </w:r>
      <w:r w:rsidR="003C3BD3" w:rsidRPr="00323D5D">
        <w:t xml:space="preserve">using </w:t>
      </w:r>
      <w:r w:rsidR="00E763DD" w:rsidRPr="00323D5D">
        <w:t xml:space="preserve">the number of </w:t>
      </w:r>
      <w:r w:rsidR="003C3BD3" w:rsidRPr="00323D5D">
        <w:t xml:space="preserve">annual </w:t>
      </w:r>
      <w:r w:rsidR="00E763DD" w:rsidRPr="00323D5D">
        <w:t>truck trips t</w:t>
      </w:r>
      <w:r w:rsidR="003C3BD3" w:rsidRPr="00323D5D">
        <w:t xml:space="preserve">hrough the corridor, </w:t>
      </w:r>
      <w:r w:rsidR="0049339C">
        <w:t xml:space="preserve">with the number of trucks as a percentage of traffic volumes derived from </w:t>
      </w:r>
      <w:r w:rsidR="003C3BD3" w:rsidRPr="00323D5D">
        <w:t xml:space="preserve">CDOT’s recent historical road share information.  </w:t>
      </w:r>
    </w:p>
    <w:p w:rsidR="00DA141C" w:rsidRPr="00323D5D" w:rsidRDefault="007D7CAF" w:rsidP="00651623">
      <w:pPr>
        <w:pStyle w:val="BodyText"/>
      </w:pPr>
      <w:proofErr w:type="spellStart"/>
      <w:r w:rsidRPr="00323D5D">
        <w:t>Bustang</w:t>
      </w:r>
      <w:proofErr w:type="spellEnd"/>
      <w:r w:rsidRPr="00323D5D">
        <w:t xml:space="preserve"> VMT was estimated by using CDOT’s data on point of boarding/alighting and ridership.  </w:t>
      </w:r>
      <w:r w:rsidR="003E4E1A" w:rsidRPr="00323D5D">
        <w:t xml:space="preserve">A further assumption is that </w:t>
      </w:r>
      <w:r w:rsidR="0049339C">
        <w:t xml:space="preserve">passengers </w:t>
      </w:r>
      <w:r w:rsidR="003E4E1A" w:rsidRPr="00323D5D">
        <w:t xml:space="preserve">using </w:t>
      </w:r>
      <w:proofErr w:type="spellStart"/>
      <w:r w:rsidR="003E4E1A" w:rsidRPr="00323D5D">
        <w:t>Bustang</w:t>
      </w:r>
      <w:proofErr w:type="spellEnd"/>
      <w:r w:rsidR="003E4E1A" w:rsidRPr="00323D5D">
        <w:t xml:space="preserve"> only travel to and from the Denver Union Station and that there </w:t>
      </w:r>
      <w:r w:rsidR="0049339C">
        <w:t xml:space="preserve">is </w:t>
      </w:r>
      <w:r w:rsidR="003E4E1A" w:rsidRPr="00323D5D">
        <w:t xml:space="preserve">no intraregional travel on </w:t>
      </w:r>
      <w:proofErr w:type="spellStart"/>
      <w:r w:rsidR="003E4E1A" w:rsidRPr="00323D5D">
        <w:t>Bustang</w:t>
      </w:r>
      <w:proofErr w:type="spellEnd"/>
      <w:r w:rsidR="003E4E1A" w:rsidRPr="00323D5D">
        <w:t xml:space="preserve"> within the assessment corridor. </w:t>
      </w:r>
      <w:r w:rsidRPr="00323D5D">
        <w:t xml:space="preserve">For </w:t>
      </w:r>
      <w:proofErr w:type="spellStart"/>
      <w:r w:rsidRPr="00323D5D">
        <w:t>Bustang</w:t>
      </w:r>
      <w:proofErr w:type="spellEnd"/>
      <w:r w:rsidRPr="00323D5D">
        <w:t xml:space="preserve"> ridership attributed to </w:t>
      </w:r>
      <w:r w:rsidR="00E7271F" w:rsidRPr="00323D5D">
        <w:t>mode shift</w:t>
      </w:r>
      <w:r w:rsidRPr="00323D5D">
        <w:t xml:space="preserve"> or inducement, the </w:t>
      </w:r>
      <w:r w:rsidR="0097726A">
        <w:t xml:space="preserve">additional </w:t>
      </w:r>
      <w:r w:rsidRPr="00323D5D">
        <w:t>distance between the Denver Union Station and the southern point of the assessment corridor – a round trip distance of 77.8 miles – has been included in VMT avoided</w:t>
      </w:r>
      <w:r w:rsidR="003E4E1A" w:rsidRPr="00323D5D">
        <w:t xml:space="preserve"> on a per passenger basis.  The rationale for this assumption is that passengers choosing to use transit will thus avoid travelling th</w:t>
      </w:r>
      <w:r w:rsidR="000771E0">
        <w:t>e</w:t>
      </w:r>
      <w:r w:rsidR="003E4E1A" w:rsidRPr="00323D5D">
        <w:t xml:space="preserve"> distance </w:t>
      </w:r>
      <w:r w:rsidR="000771E0">
        <w:t xml:space="preserve">to and from Denver </w:t>
      </w:r>
      <w:r w:rsidR="003B3E40">
        <w:t xml:space="preserve">in </w:t>
      </w:r>
      <w:r w:rsidR="000771E0">
        <w:t xml:space="preserve">a </w:t>
      </w:r>
      <w:r w:rsidR="003E4E1A" w:rsidRPr="00323D5D">
        <w:t xml:space="preserve">personal vehicle. </w:t>
      </w:r>
    </w:p>
    <w:p w:rsidR="004F45BC" w:rsidRPr="00323D5D" w:rsidRDefault="004F45BC" w:rsidP="006A21C2">
      <w:pPr>
        <w:pStyle w:val="Heading4"/>
      </w:pPr>
      <w:bookmarkStart w:id="96" w:name="_Toc448780316"/>
      <w:r w:rsidRPr="00323D5D">
        <w:t xml:space="preserve">Vehicle </w:t>
      </w:r>
      <w:r w:rsidR="001434B7">
        <w:t>H</w:t>
      </w:r>
      <w:r w:rsidRPr="00323D5D">
        <w:t xml:space="preserve">ours </w:t>
      </w:r>
      <w:r w:rsidR="001434B7">
        <w:t>T</w:t>
      </w:r>
      <w:r w:rsidRPr="00323D5D">
        <w:t>ravelled</w:t>
      </w:r>
      <w:bookmarkEnd w:id="96"/>
    </w:p>
    <w:p w:rsidR="009D40EB" w:rsidRPr="00323D5D" w:rsidRDefault="009D40EB" w:rsidP="00651623">
      <w:pPr>
        <w:pStyle w:val="BodyText"/>
      </w:pPr>
      <w:r w:rsidRPr="00323D5D">
        <w:t>Vehicle hours travel</w:t>
      </w:r>
      <w:r w:rsidR="001434B7">
        <w:t>led</w:t>
      </w:r>
      <w:r w:rsidRPr="00323D5D">
        <w:t xml:space="preserve"> (VHT) is used in a variety of benefits and costs categories including: safety, emissions, and operations and maintenance.  </w:t>
      </w:r>
      <w:r w:rsidR="000806DC" w:rsidRPr="00323D5D">
        <w:t xml:space="preserve">Vehicle hours used in this analysis comprise the estimates of travel times </w:t>
      </w:r>
      <w:r w:rsidR="000771E0">
        <w:t xml:space="preserve">avoided </w:t>
      </w:r>
      <w:r w:rsidR="000806DC" w:rsidRPr="00323D5D">
        <w:t xml:space="preserve">for </w:t>
      </w:r>
      <w:r w:rsidR="000771E0">
        <w:t xml:space="preserve">personal </w:t>
      </w:r>
      <w:r w:rsidR="000806DC" w:rsidRPr="00323D5D">
        <w:t xml:space="preserve">vehicles </w:t>
      </w:r>
      <w:r w:rsidR="000771E0">
        <w:t xml:space="preserve">and commercial trucks </w:t>
      </w:r>
      <w:r w:rsidR="000806DC" w:rsidRPr="00323D5D">
        <w:t xml:space="preserve">under the baseline and build scenarios. </w:t>
      </w:r>
    </w:p>
    <w:p w:rsidR="00023173" w:rsidRPr="00323D5D" w:rsidRDefault="00023173" w:rsidP="00023173">
      <w:pPr>
        <w:pStyle w:val="Heading4"/>
      </w:pPr>
      <w:bookmarkStart w:id="97" w:name="_Toc448162806"/>
      <w:bookmarkStart w:id="98" w:name="_Toc448163126"/>
      <w:bookmarkStart w:id="99" w:name="_Toc448163446"/>
      <w:bookmarkStart w:id="100" w:name="_Toc448162848"/>
      <w:bookmarkStart w:id="101" w:name="_Toc448163168"/>
      <w:bookmarkStart w:id="102" w:name="_Toc448163488"/>
      <w:bookmarkStart w:id="103" w:name="_Toc448162875"/>
      <w:bookmarkStart w:id="104" w:name="_Toc448163195"/>
      <w:bookmarkStart w:id="105" w:name="_Toc448163515"/>
      <w:bookmarkStart w:id="106" w:name="_Toc448780317"/>
      <w:bookmarkEnd w:id="97"/>
      <w:bookmarkEnd w:id="98"/>
      <w:bookmarkEnd w:id="99"/>
      <w:bookmarkEnd w:id="100"/>
      <w:bookmarkEnd w:id="101"/>
      <w:bookmarkEnd w:id="102"/>
      <w:bookmarkEnd w:id="103"/>
      <w:bookmarkEnd w:id="104"/>
      <w:bookmarkEnd w:id="105"/>
      <w:r w:rsidRPr="00323D5D">
        <w:t>Average Vehicle Occupancy</w:t>
      </w:r>
      <w:bookmarkEnd w:id="106"/>
    </w:p>
    <w:p w:rsidR="00023173" w:rsidRDefault="00023173" w:rsidP="00651623">
      <w:pPr>
        <w:pStyle w:val="BodyText"/>
      </w:pPr>
      <w:r w:rsidRPr="00323D5D">
        <w:t xml:space="preserve">Average vehicle occupancy allows for the estimation of total </w:t>
      </w:r>
      <w:r>
        <w:t>travel time</w:t>
      </w:r>
      <w:r w:rsidRPr="00323D5D">
        <w:t xml:space="preserve"> savings.  This analysis assumes </w:t>
      </w:r>
      <w:proofErr w:type="gramStart"/>
      <w:r w:rsidRPr="00323D5D">
        <w:t>an</w:t>
      </w:r>
      <w:r>
        <w:t xml:space="preserve"> </w:t>
      </w:r>
      <w:r w:rsidRPr="00323D5D">
        <w:t>average</w:t>
      </w:r>
      <w:proofErr w:type="gramEnd"/>
      <w:r w:rsidRPr="00323D5D">
        <w:t xml:space="preserve"> vehicle occupancy of 1.67 for the build scenario, as taken from the DOT’s 2009 National Household Travel Survey data.  </w:t>
      </w:r>
    </w:p>
    <w:p w:rsidR="00023173" w:rsidRDefault="00023173" w:rsidP="00023173">
      <w:pPr>
        <w:pStyle w:val="Heading3"/>
        <w:rPr>
          <w:rFonts w:ascii="Times New Roman" w:hAnsi="Times New Roman" w:cs="Times New Roman"/>
        </w:rPr>
      </w:pPr>
      <w:bookmarkStart w:id="107" w:name="_Toc448780318"/>
      <w:r>
        <w:rPr>
          <w:rFonts w:ascii="Times New Roman" w:hAnsi="Times New Roman" w:cs="Times New Roman"/>
        </w:rPr>
        <w:lastRenderedPageBreak/>
        <w:t>Assumptions – Vehicle Operation</w:t>
      </w:r>
      <w:bookmarkEnd w:id="107"/>
      <w:r>
        <w:rPr>
          <w:rFonts w:ascii="Times New Roman" w:hAnsi="Times New Roman" w:cs="Times New Roman"/>
        </w:rPr>
        <w:t xml:space="preserve"> </w:t>
      </w:r>
    </w:p>
    <w:p w:rsidR="00FE1FA9" w:rsidRPr="00323D5D" w:rsidRDefault="00FE1FA9" w:rsidP="006A21C2">
      <w:pPr>
        <w:pStyle w:val="Heading4"/>
      </w:pPr>
      <w:bookmarkStart w:id="108" w:name="_Toc448162890"/>
      <w:bookmarkStart w:id="109" w:name="_Toc448163210"/>
      <w:bookmarkStart w:id="110" w:name="_Toc448163530"/>
      <w:bookmarkStart w:id="111" w:name="_Toc448780319"/>
      <w:bookmarkEnd w:id="108"/>
      <w:bookmarkEnd w:id="109"/>
      <w:bookmarkEnd w:id="110"/>
      <w:r w:rsidRPr="00323D5D">
        <w:t>Vehicle Operating Costs</w:t>
      </w:r>
      <w:bookmarkEnd w:id="111"/>
      <w:r w:rsidRPr="00323D5D">
        <w:t xml:space="preserve"> </w:t>
      </w:r>
    </w:p>
    <w:p w:rsidR="00E73714" w:rsidRPr="00323D5D" w:rsidRDefault="009A2E76" w:rsidP="00E73714">
      <w:pPr>
        <w:pStyle w:val="BodyText"/>
      </w:pPr>
      <w:r w:rsidRPr="00323D5D">
        <w:t xml:space="preserve">The </w:t>
      </w:r>
      <w:r w:rsidR="00962481">
        <w:t>I-25 Project</w:t>
      </w:r>
      <w:r w:rsidRPr="00323D5D">
        <w:t xml:space="preserve"> is not expected to induce increased traffic volumes; rather, the </w:t>
      </w:r>
      <w:r w:rsidR="00962481">
        <w:t>I-25 Project</w:t>
      </w:r>
      <w:r w:rsidRPr="00323D5D">
        <w:t xml:space="preserve"> will increase the corridor’s capacity to accommodate a higher </w:t>
      </w:r>
      <w:r w:rsidR="00186D9B">
        <w:t>volume</w:t>
      </w:r>
      <w:r w:rsidR="00186D9B" w:rsidRPr="00323D5D">
        <w:t xml:space="preserve"> </w:t>
      </w:r>
      <w:r w:rsidRPr="00323D5D">
        <w:t>of traffic associated with regional population and employment growth and an expected increase in freight volumes on Colorado’s highways of approximately 75</w:t>
      </w:r>
      <w:r w:rsidR="007702E6">
        <w:t xml:space="preserve"> percent</w:t>
      </w:r>
      <w:r w:rsidRPr="00323D5D">
        <w:t xml:space="preserve"> over the next 25 years.</w:t>
      </w:r>
      <w:r w:rsidRPr="00323D5D">
        <w:rPr>
          <w:rStyle w:val="FootnoteReference"/>
        </w:rPr>
        <w:footnoteReference w:id="6"/>
      </w:r>
      <w:r w:rsidR="003E0180" w:rsidRPr="00323D5D">
        <w:t xml:space="preserve"> </w:t>
      </w:r>
      <w:r w:rsidR="00222DAA" w:rsidRPr="00323D5D">
        <w:t xml:space="preserve">  The </w:t>
      </w:r>
      <w:r w:rsidR="003B3E40">
        <w:t>I-25 Project</w:t>
      </w:r>
      <w:r w:rsidR="00222DAA" w:rsidRPr="00323D5D">
        <w:t xml:space="preserve"> assumes a greater efficiency of travel as opposed to a driver of greater traffic volumes.  </w:t>
      </w:r>
      <w:r w:rsidR="000771E0">
        <w:t>Concurrently, the build scenario assumes that significant mode shift to carpooling or use of transit will occur with the advent of managed lanes.  This i</w:t>
      </w:r>
      <w:r w:rsidR="003B3E40">
        <w:t>n</w:t>
      </w:r>
      <w:r w:rsidR="000771E0">
        <w:t xml:space="preserve"> turn leads to a large quantum of vehicle miles travelled </w:t>
      </w:r>
      <w:r w:rsidR="003B3E40">
        <w:t xml:space="preserve">that </w:t>
      </w:r>
      <w:r w:rsidR="000771E0">
        <w:t xml:space="preserve">would otherwise occur if the build scenario was not implemented. </w:t>
      </w:r>
      <w:r w:rsidR="00222DAA" w:rsidRPr="00323D5D">
        <w:t xml:space="preserve">Accordingly, operating costs and savings are calculated on </w:t>
      </w:r>
      <w:r w:rsidR="000771E0">
        <w:t xml:space="preserve">both </w:t>
      </w:r>
      <w:r w:rsidR="00222DAA" w:rsidRPr="00323D5D">
        <w:t>operating hours</w:t>
      </w:r>
      <w:r w:rsidR="000771E0">
        <w:t xml:space="preserve"> and on VMT avoided. </w:t>
      </w:r>
      <w:r w:rsidR="00222DAA" w:rsidRPr="00323D5D">
        <w:t xml:space="preserve">  </w:t>
      </w:r>
    </w:p>
    <w:p w:rsidR="00BD4B3B" w:rsidRPr="00323D5D" w:rsidRDefault="00BD4B3B" w:rsidP="00E73714">
      <w:pPr>
        <w:pStyle w:val="BodyText"/>
      </w:pPr>
      <w:r w:rsidRPr="00323D5D">
        <w:t xml:space="preserve">Vehicle operating costs comprise both fuel and non-fuel costs for commercial vehicles, including buses.  </w:t>
      </w:r>
    </w:p>
    <w:p w:rsidR="00FE1FA9" w:rsidRPr="00323D5D" w:rsidRDefault="00E73714" w:rsidP="006A21C2">
      <w:pPr>
        <w:pStyle w:val="Heading5"/>
      </w:pPr>
      <w:r w:rsidRPr="00323D5D">
        <w:t xml:space="preserve">Personal Vehicles </w:t>
      </w:r>
    </w:p>
    <w:p w:rsidR="003D20AB" w:rsidRPr="00323D5D" w:rsidRDefault="003E4E1A" w:rsidP="003D20AB">
      <w:pPr>
        <w:pStyle w:val="BodyText"/>
      </w:pPr>
      <w:r w:rsidRPr="00323D5D">
        <w:t>Operating costs for personal vehicle are derived from the American Automobile Association’s (AAA) 2015 estimation of on road operating costs per VMT.  These include three variable costs (gas, maintenance, and tires) and half of the car</w:t>
      </w:r>
      <w:r w:rsidR="008301D0" w:rsidRPr="00323D5D">
        <w:t>’</w:t>
      </w:r>
      <w:r w:rsidRPr="00323D5D">
        <w:t>s depreciating value.  An overview</w:t>
      </w:r>
      <w:r w:rsidR="00BD4B3B" w:rsidRPr="00323D5D">
        <w:t xml:space="preserve"> of the assumptions for the per-</w:t>
      </w:r>
      <w:r w:rsidRPr="00323D5D">
        <w:t xml:space="preserve">mile operating costs for personal vehicles </w:t>
      </w:r>
      <w:r w:rsidR="008301D0" w:rsidRPr="00323D5D">
        <w:t>is</w:t>
      </w:r>
      <w:r w:rsidRPr="00323D5D">
        <w:t xml:space="preserve"> shown in Table </w:t>
      </w:r>
      <w:r w:rsidR="00F3566B">
        <w:t>5</w:t>
      </w:r>
      <w:r w:rsidRPr="00323D5D">
        <w:t>.</w:t>
      </w:r>
    </w:p>
    <w:p w:rsidR="003E4E1A" w:rsidRPr="00323D5D" w:rsidRDefault="003E4E1A" w:rsidP="003E4E1A">
      <w:pPr>
        <w:pStyle w:val="BodyText"/>
        <w:spacing w:after="0"/>
        <w:jc w:val="center"/>
        <w:rPr>
          <w:b/>
          <w:sz w:val="18"/>
          <w:szCs w:val="18"/>
        </w:rPr>
      </w:pPr>
      <w:r w:rsidRPr="00323D5D">
        <w:rPr>
          <w:b/>
          <w:sz w:val="18"/>
          <w:szCs w:val="18"/>
        </w:rPr>
        <w:t xml:space="preserve">Table </w:t>
      </w:r>
      <w:r w:rsidR="00F3566B">
        <w:rPr>
          <w:b/>
          <w:sz w:val="18"/>
          <w:szCs w:val="18"/>
        </w:rPr>
        <w:t>5</w:t>
      </w:r>
      <w:r w:rsidRPr="00323D5D">
        <w:rPr>
          <w:b/>
          <w:sz w:val="18"/>
          <w:szCs w:val="18"/>
        </w:rPr>
        <w:t>: Average Personal Automobile Operating Costs per VMT</w:t>
      </w:r>
    </w:p>
    <w:tbl>
      <w:tblPr>
        <w:tblW w:w="5000" w:type="pct"/>
        <w:jc w:val="center"/>
        <w:tblLook w:val="04A0" w:firstRow="1" w:lastRow="0" w:firstColumn="1" w:lastColumn="0" w:noHBand="0" w:noVBand="1"/>
      </w:tblPr>
      <w:tblGrid>
        <w:gridCol w:w="6431"/>
        <w:gridCol w:w="3145"/>
      </w:tblGrid>
      <w:tr w:rsidR="003E4E1A" w:rsidRPr="00323D5D" w:rsidTr="009D3D5D">
        <w:trPr>
          <w:trHeight w:val="288"/>
          <w:jc w:val="center"/>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E1A" w:rsidRPr="00323D5D" w:rsidRDefault="003E4E1A" w:rsidP="003E4E1A">
            <w:pPr>
              <w:spacing w:line="240" w:lineRule="auto"/>
              <w:rPr>
                <w:b/>
                <w:color w:val="000000"/>
                <w:szCs w:val="22"/>
              </w:rPr>
            </w:pPr>
            <w:r w:rsidRPr="00323D5D">
              <w:rPr>
                <w:color w:val="000000"/>
                <w:szCs w:val="22"/>
              </w:rPr>
              <w:t> </w:t>
            </w:r>
            <w:r w:rsidR="009D3D5D" w:rsidRPr="00323D5D">
              <w:rPr>
                <w:b/>
                <w:color w:val="000000"/>
                <w:szCs w:val="22"/>
              </w:rPr>
              <w:t>Operating Cost Component</w:t>
            </w:r>
          </w:p>
        </w:tc>
        <w:tc>
          <w:tcPr>
            <w:tcW w:w="1642" w:type="pct"/>
            <w:tcBorders>
              <w:top w:val="single" w:sz="4" w:space="0" w:color="auto"/>
              <w:left w:val="nil"/>
              <w:bottom w:val="single" w:sz="4" w:space="0" w:color="auto"/>
              <w:right w:val="single" w:sz="4" w:space="0" w:color="auto"/>
            </w:tcBorders>
            <w:shd w:val="clear" w:color="auto" w:fill="auto"/>
            <w:noWrap/>
            <w:vAlign w:val="bottom"/>
            <w:hideMark/>
          </w:tcPr>
          <w:p w:rsidR="003E4E1A" w:rsidRPr="00323D5D" w:rsidRDefault="003E4E1A" w:rsidP="009D3D5D">
            <w:pPr>
              <w:spacing w:line="240" w:lineRule="auto"/>
              <w:jc w:val="right"/>
              <w:rPr>
                <w:color w:val="000000"/>
                <w:szCs w:val="22"/>
              </w:rPr>
            </w:pPr>
            <w:r w:rsidRPr="00323D5D">
              <w:rPr>
                <w:color w:val="000000"/>
                <w:szCs w:val="22"/>
              </w:rPr>
              <w:t>$/VMT</w:t>
            </w:r>
          </w:p>
        </w:tc>
      </w:tr>
      <w:tr w:rsidR="003E4E1A" w:rsidRPr="00323D5D" w:rsidTr="009D3D5D">
        <w:trPr>
          <w:trHeight w:val="288"/>
          <w:jc w:val="center"/>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3E4E1A" w:rsidRPr="00323D5D" w:rsidRDefault="003E4E1A" w:rsidP="003E4E1A">
            <w:pPr>
              <w:spacing w:line="240" w:lineRule="auto"/>
              <w:rPr>
                <w:color w:val="000000"/>
                <w:szCs w:val="22"/>
              </w:rPr>
            </w:pPr>
            <w:r w:rsidRPr="00323D5D">
              <w:rPr>
                <w:color w:val="000000"/>
                <w:szCs w:val="22"/>
              </w:rPr>
              <w:t>Gas, maintenance, and tires</w:t>
            </w:r>
          </w:p>
        </w:tc>
        <w:tc>
          <w:tcPr>
            <w:tcW w:w="1642" w:type="pct"/>
            <w:tcBorders>
              <w:top w:val="nil"/>
              <w:left w:val="nil"/>
              <w:bottom w:val="single" w:sz="4" w:space="0" w:color="auto"/>
              <w:right w:val="single" w:sz="4" w:space="0" w:color="auto"/>
            </w:tcBorders>
            <w:shd w:val="clear" w:color="auto" w:fill="auto"/>
            <w:noWrap/>
            <w:vAlign w:val="bottom"/>
            <w:hideMark/>
          </w:tcPr>
          <w:p w:rsidR="003E4E1A" w:rsidRPr="00323D5D" w:rsidRDefault="003E4E1A" w:rsidP="009D3D5D">
            <w:pPr>
              <w:spacing w:line="240" w:lineRule="auto"/>
              <w:jc w:val="right"/>
              <w:rPr>
                <w:color w:val="000000"/>
                <w:szCs w:val="22"/>
              </w:rPr>
            </w:pPr>
            <w:r w:rsidRPr="00323D5D">
              <w:rPr>
                <w:color w:val="000000"/>
                <w:szCs w:val="22"/>
              </w:rPr>
              <w:t xml:space="preserve"> $         0.17 </w:t>
            </w:r>
          </w:p>
        </w:tc>
      </w:tr>
      <w:tr w:rsidR="003E4E1A" w:rsidRPr="00323D5D" w:rsidTr="009D3D5D">
        <w:trPr>
          <w:trHeight w:val="288"/>
          <w:jc w:val="center"/>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3E4E1A" w:rsidRPr="00323D5D" w:rsidRDefault="003E4E1A" w:rsidP="003E4E1A">
            <w:pPr>
              <w:spacing w:line="240" w:lineRule="auto"/>
              <w:rPr>
                <w:color w:val="000000"/>
                <w:szCs w:val="22"/>
              </w:rPr>
            </w:pPr>
            <w:r w:rsidRPr="00323D5D">
              <w:rPr>
                <w:color w:val="000000"/>
                <w:szCs w:val="22"/>
              </w:rPr>
              <w:t>Depreciation</w:t>
            </w:r>
          </w:p>
        </w:tc>
        <w:tc>
          <w:tcPr>
            <w:tcW w:w="1642" w:type="pct"/>
            <w:tcBorders>
              <w:top w:val="nil"/>
              <w:left w:val="nil"/>
              <w:bottom w:val="single" w:sz="4" w:space="0" w:color="auto"/>
              <w:right w:val="single" w:sz="4" w:space="0" w:color="auto"/>
            </w:tcBorders>
            <w:shd w:val="clear" w:color="auto" w:fill="auto"/>
            <w:vAlign w:val="bottom"/>
            <w:hideMark/>
          </w:tcPr>
          <w:p w:rsidR="003E4E1A" w:rsidRPr="00323D5D" w:rsidRDefault="003E4E1A" w:rsidP="009D3D5D">
            <w:pPr>
              <w:spacing w:line="240" w:lineRule="auto"/>
              <w:jc w:val="right"/>
              <w:rPr>
                <w:color w:val="000000"/>
                <w:szCs w:val="22"/>
              </w:rPr>
            </w:pPr>
            <w:r w:rsidRPr="00323D5D">
              <w:rPr>
                <w:color w:val="000000"/>
                <w:szCs w:val="22"/>
              </w:rPr>
              <w:t xml:space="preserve"> $         0.12 </w:t>
            </w:r>
          </w:p>
        </w:tc>
      </w:tr>
      <w:tr w:rsidR="003E4E1A" w:rsidRPr="00323D5D" w:rsidTr="009D3D5D">
        <w:trPr>
          <w:trHeight w:val="288"/>
          <w:jc w:val="center"/>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3E4E1A" w:rsidRPr="00323D5D" w:rsidRDefault="003E4E1A" w:rsidP="003E4E1A">
            <w:pPr>
              <w:spacing w:line="240" w:lineRule="auto"/>
              <w:rPr>
                <w:color w:val="000000"/>
                <w:szCs w:val="22"/>
              </w:rPr>
            </w:pPr>
            <w:r w:rsidRPr="00323D5D">
              <w:rPr>
                <w:color w:val="000000"/>
                <w:szCs w:val="22"/>
              </w:rPr>
              <w:t xml:space="preserve">Total </w:t>
            </w:r>
          </w:p>
        </w:tc>
        <w:tc>
          <w:tcPr>
            <w:tcW w:w="1642" w:type="pct"/>
            <w:tcBorders>
              <w:top w:val="nil"/>
              <w:left w:val="nil"/>
              <w:bottom w:val="single" w:sz="4" w:space="0" w:color="auto"/>
              <w:right w:val="single" w:sz="4" w:space="0" w:color="auto"/>
            </w:tcBorders>
            <w:shd w:val="clear" w:color="auto" w:fill="auto"/>
            <w:noWrap/>
            <w:vAlign w:val="bottom"/>
            <w:hideMark/>
          </w:tcPr>
          <w:p w:rsidR="003E4E1A" w:rsidRPr="00323D5D" w:rsidRDefault="003E4E1A" w:rsidP="009D3D5D">
            <w:pPr>
              <w:spacing w:line="240" w:lineRule="auto"/>
              <w:jc w:val="right"/>
              <w:rPr>
                <w:b/>
                <w:bCs/>
                <w:color w:val="000000"/>
                <w:szCs w:val="22"/>
              </w:rPr>
            </w:pPr>
            <w:r w:rsidRPr="00323D5D">
              <w:rPr>
                <w:b/>
                <w:bCs/>
                <w:color w:val="000000"/>
                <w:szCs w:val="22"/>
              </w:rPr>
              <w:t xml:space="preserve"> $         0.29 </w:t>
            </w:r>
          </w:p>
        </w:tc>
      </w:tr>
    </w:tbl>
    <w:p w:rsidR="00BD4B3B" w:rsidRPr="00323D5D" w:rsidRDefault="008301D0" w:rsidP="009D3D5D">
      <w:pPr>
        <w:pStyle w:val="BodyText"/>
        <w:jc w:val="left"/>
        <w:rPr>
          <w:sz w:val="16"/>
          <w:szCs w:val="16"/>
        </w:rPr>
      </w:pPr>
      <w:r w:rsidRPr="00323D5D">
        <w:rPr>
          <w:sz w:val="16"/>
          <w:szCs w:val="16"/>
        </w:rPr>
        <w:t xml:space="preserve"> </w:t>
      </w:r>
      <w:r w:rsidR="00652582" w:rsidRPr="00323D5D">
        <w:rPr>
          <w:sz w:val="16"/>
          <w:szCs w:val="16"/>
        </w:rPr>
        <w:t>Source: Department of Energy (2015)</w:t>
      </w:r>
    </w:p>
    <w:p w:rsidR="008301D0" w:rsidRPr="00323D5D" w:rsidRDefault="008301D0" w:rsidP="008301D0">
      <w:pPr>
        <w:pStyle w:val="BodyText"/>
        <w:jc w:val="left"/>
      </w:pPr>
      <w:r w:rsidRPr="00323D5D">
        <w:t xml:space="preserve">VMT avoided was calculated by annualizing the number of trips avoided due to the implementation of the </w:t>
      </w:r>
      <w:r w:rsidR="003B3E40">
        <w:t>I-25 Project</w:t>
      </w:r>
      <w:r w:rsidRPr="00323D5D">
        <w:t xml:space="preserve"> and multiplying this by half the length of the corridor</w:t>
      </w:r>
      <w:r w:rsidR="007C3951" w:rsidRPr="00323D5D">
        <w:t xml:space="preserve"> (as point of origin in the traffic volumes is not known) to determine VMT avoided.  This value was then applied to the average operating cost per mile to determine the benefit in operating savings.</w:t>
      </w:r>
    </w:p>
    <w:p w:rsidR="00E73714" w:rsidRPr="00323D5D" w:rsidRDefault="00E73714" w:rsidP="006A21C2">
      <w:pPr>
        <w:pStyle w:val="Heading5"/>
      </w:pPr>
      <w:r w:rsidRPr="00323D5D">
        <w:t>Commercial Trucks</w:t>
      </w:r>
    </w:p>
    <w:p w:rsidR="00E73714" w:rsidRPr="00323D5D" w:rsidRDefault="00217D6B" w:rsidP="00E73714">
      <w:pPr>
        <w:pStyle w:val="BodyText"/>
      </w:pPr>
      <w:r w:rsidRPr="00323D5D">
        <w:t xml:space="preserve">The operating costs for commercial trucks comprise vehicle and driver based costs and are expressed on an hourly basis.  </w:t>
      </w:r>
      <w:r w:rsidR="009D3D5D" w:rsidRPr="00323D5D">
        <w:t xml:space="preserve">This analysis has used the American Transportation Research Institute’s 2015 Average Margin Costs </w:t>
      </w:r>
      <w:r w:rsidR="00E7271F" w:rsidRPr="00323D5D">
        <w:t>per</w:t>
      </w:r>
      <w:r w:rsidR="009D3D5D" w:rsidRPr="00323D5D">
        <w:t xml:space="preserve"> Hour as the benchmark for hourly truck operating costs</w:t>
      </w:r>
      <w:r w:rsidR="00D319D4" w:rsidRPr="00323D5D">
        <w:rPr>
          <w:rStyle w:val="FootnoteReference"/>
        </w:rPr>
        <w:footnoteReference w:id="7"/>
      </w:r>
      <w:r w:rsidR="009D3D5D" w:rsidRPr="00323D5D">
        <w:t xml:space="preserve">.  ATRI’s </w:t>
      </w:r>
      <w:r w:rsidRPr="00323D5D">
        <w:t xml:space="preserve">hourly driver based costs </w:t>
      </w:r>
      <w:r w:rsidR="00D319D4" w:rsidRPr="00323D5D">
        <w:t xml:space="preserve">have been adjusted nominally to match the </w:t>
      </w:r>
      <w:r w:rsidR="00B1575F" w:rsidRPr="00323D5D">
        <w:t xml:space="preserve">DOT’s suggested guidance for </w:t>
      </w:r>
      <w:r w:rsidR="00D319D4" w:rsidRPr="00323D5D">
        <w:t>the value of time of a commercial truck drive</w:t>
      </w:r>
      <w:r w:rsidR="00B1575F" w:rsidRPr="00323D5D">
        <w:t xml:space="preserve">.  This analysis uses the more conservative assumption, shown in Table </w:t>
      </w:r>
      <w:r w:rsidR="00F3566B">
        <w:t>6</w:t>
      </w:r>
      <w:r w:rsidR="00BD4B3B" w:rsidRPr="00323D5D">
        <w:t>,</w:t>
      </w:r>
      <w:r w:rsidR="00B1575F" w:rsidRPr="00323D5D">
        <w:t xml:space="preserve"> along with all other component</w:t>
      </w:r>
      <w:r w:rsidR="00AE71BB" w:rsidRPr="00323D5D">
        <w:t>s</w:t>
      </w:r>
      <w:r w:rsidR="00B1575F" w:rsidRPr="00323D5D">
        <w:t xml:space="preserve"> comprising the </w:t>
      </w:r>
      <w:r w:rsidR="00AE71BB" w:rsidRPr="00323D5D">
        <w:t xml:space="preserve">hourly </w:t>
      </w:r>
      <w:r w:rsidR="00B1575F" w:rsidRPr="00323D5D">
        <w:t xml:space="preserve">operating costs for commercial trucks. </w:t>
      </w:r>
    </w:p>
    <w:p w:rsidR="003E4E1A" w:rsidRPr="00323D5D" w:rsidRDefault="003E4E1A" w:rsidP="003E4E1A">
      <w:pPr>
        <w:pStyle w:val="BodyText"/>
        <w:spacing w:after="0"/>
        <w:jc w:val="center"/>
      </w:pPr>
      <w:r w:rsidRPr="00323D5D">
        <w:rPr>
          <w:b/>
          <w:sz w:val="18"/>
          <w:szCs w:val="18"/>
        </w:rPr>
        <w:lastRenderedPageBreak/>
        <w:t xml:space="preserve">Table </w:t>
      </w:r>
      <w:r w:rsidR="00F3566B">
        <w:rPr>
          <w:b/>
          <w:sz w:val="18"/>
          <w:szCs w:val="18"/>
        </w:rPr>
        <w:t>6</w:t>
      </w:r>
      <w:r w:rsidRPr="00323D5D">
        <w:rPr>
          <w:b/>
          <w:sz w:val="18"/>
          <w:szCs w:val="18"/>
        </w:rPr>
        <w:t xml:space="preserve">: Average Truck Operating Costs </w:t>
      </w:r>
      <w:r w:rsidR="00E7271F" w:rsidRPr="00323D5D">
        <w:rPr>
          <w:b/>
          <w:sz w:val="18"/>
          <w:szCs w:val="18"/>
        </w:rPr>
        <w:t>per</w:t>
      </w:r>
      <w:r w:rsidRPr="00323D5D">
        <w:rPr>
          <w:b/>
          <w:sz w:val="18"/>
          <w:szCs w:val="18"/>
        </w:rPr>
        <w:t xml:space="preserve"> </w:t>
      </w:r>
      <w:r w:rsidR="008A5BC6" w:rsidRPr="00323D5D">
        <w:rPr>
          <w:b/>
          <w:sz w:val="18"/>
          <w:szCs w:val="18"/>
        </w:rPr>
        <w:t xml:space="preserve">Vehicle </w:t>
      </w:r>
      <w:r w:rsidRPr="00323D5D">
        <w:rPr>
          <w:b/>
          <w:sz w:val="18"/>
          <w:szCs w:val="18"/>
        </w:rPr>
        <w:t>Hour</w:t>
      </w:r>
      <w:r w:rsidR="008A5BC6" w:rsidRPr="00323D5D">
        <w:rPr>
          <w:b/>
          <w:sz w:val="18"/>
          <w:szCs w:val="18"/>
        </w:rPr>
        <w:t xml:space="preserve"> Traveled</w:t>
      </w:r>
    </w:p>
    <w:tbl>
      <w:tblPr>
        <w:tblW w:w="5000" w:type="pct"/>
        <w:jc w:val="center"/>
        <w:tblLook w:val="04A0" w:firstRow="1" w:lastRow="0" w:firstColumn="1" w:lastColumn="0" w:noHBand="0" w:noVBand="1"/>
      </w:tblPr>
      <w:tblGrid>
        <w:gridCol w:w="7930"/>
        <w:gridCol w:w="1646"/>
      </w:tblGrid>
      <w:tr w:rsidR="00E73714" w:rsidRPr="00323D5D" w:rsidTr="009D3D5D">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73714" w:rsidRPr="00323D5D" w:rsidRDefault="00E73714" w:rsidP="00E73714">
            <w:pPr>
              <w:spacing w:line="240" w:lineRule="auto"/>
              <w:rPr>
                <w:b/>
                <w:bCs/>
                <w:color w:val="000000"/>
                <w:szCs w:val="22"/>
              </w:rPr>
            </w:pPr>
          </w:p>
        </w:tc>
      </w:tr>
      <w:tr w:rsidR="00E73714"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center"/>
            <w:hideMark/>
          </w:tcPr>
          <w:p w:rsidR="00E73714" w:rsidRPr="00323D5D" w:rsidRDefault="00E73714" w:rsidP="006A21C2">
            <w:pPr>
              <w:spacing w:line="240" w:lineRule="auto"/>
              <w:rPr>
                <w:b/>
                <w:bCs/>
                <w:color w:val="000000"/>
                <w:szCs w:val="22"/>
              </w:rPr>
            </w:pPr>
            <w:r w:rsidRPr="00323D5D">
              <w:rPr>
                <w:b/>
                <w:bCs/>
                <w:color w:val="000000"/>
                <w:szCs w:val="22"/>
              </w:rPr>
              <w:t>Vehicle Based</w:t>
            </w:r>
          </w:p>
        </w:tc>
        <w:tc>
          <w:tcPr>
            <w:tcW w:w="859" w:type="pct"/>
            <w:tcBorders>
              <w:top w:val="nil"/>
              <w:left w:val="nil"/>
              <w:bottom w:val="single" w:sz="4" w:space="0" w:color="auto"/>
              <w:right w:val="single" w:sz="4" w:space="0" w:color="auto"/>
            </w:tcBorders>
            <w:shd w:val="clear" w:color="auto" w:fill="auto"/>
            <w:noWrap/>
            <w:vAlign w:val="center"/>
            <w:hideMark/>
          </w:tcPr>
          <w:p w:rsidR="00E73714" w:rsidRPr="00323D5D" w:rsidRDefault="00E73714" w:rsidP="00E73714">
            <w:pPr>
              <w:spacing w:line="240" w:lineRule="auto"/>
              <w:jc w:val="center"/>
              <w:rPr>
                <w:color w:val="000000"/>
                <w:szCs w:val="22"/>
              </w:rPr>
            </w:pPr>
            <w:r w:rsidRPr="00323D5D">
              <w:rPr>
                <w:b/>
                <w:bCs/>
                <w:color w:val="000000"/>
                <w:szCs w:val="22"/>
              </w:rPr>
              <w:t>$2016</w:t>
            </w:r>
            <w:r w:rsidRPr="00323D5D">
              <w:rPr>
                <w:color w:val="000000"/>
                <w:szCs w:val="22"/>
              </w:rPr>
              <w:t>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Fuel-Oil Costs </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23.98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Truck/Trailer Lease or Purchase Payments</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8.84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Repair and Maintenance </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6.50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Truck Insurance Premiums </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2.98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b/>
                <w:bCs/>
                <w:color w:val="000000"/>
                <w:szCs w:val="22"/>
              </w:rPr>
            </w:pPr>
            <w:r w:rsidRPr="00323D5D">
              <w:rPr>
                <w:b/>
                <w:bCs/>
                <w:color w:val="000000"/>
                <w:szCs w:val="22"/>
              </w:rPr>
              <w:t xml:space="preserve">Driver Based </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rsidP="009D3D5D">
            <w:pPr>
              <w:rPr>
                <w:color w:val="000000"/>
                <w:szCs w:val="22"/>
              </w:rPr>
            </w:pPr>
            <w:r w:rsidRPr="00323D5D">
              <w:rPr>
                <w:color w:val="000000"/>
                <w:szCs w:val="22"/>
              </w:rPr>
              <w:t xml:space="preserve">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Driver Pay (Adjusted per TIGER BCA Guidance)</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27.47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Driver Benefits</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5.30 </w:t>
            </w:r>
          </w:p>
        </w:tc>
      </w:tr>
      <w:tr w:rsidR="009D3D5D" w:rsidRPr="00323D5D" w:rsidTr="006A21C2">
        <w:trPr>
          <w:trHeight w:val="288"/>
          <w:jc w:val="center"/>
        </w:trPr>
        <w:tc>
          <w:tcPr>
            <w:tcW w:w="4141" w:type="pct"/>
            <w:tcBorders>
              <w:top w:val="nil"/>
              <w:left w:val="single" w:sz="4" w:space="0" w:color="auto"/>
              <w:bottom w:val="single" w:sz="4" w:space="0" w:color="auto"/>
              <w:right w:val="single" w:sz="4" w:space="0" w:color="auto"/>
            </w:tcBorders>
            <w:shd w:val="clear" w:color="auto" w:fill="auto"/>
            <w:noWrap/>
            <w:vAlign w:val="center"/>
            <w:hideMark/>
          </w:tcPr>
          <w:p w:rsidR="009D3D5D" w:rsidRPr="00323D5D" w:rsidRDefault="009D3D5D" w:rsidP="00E73714">
            <w:pPr>
              <w:spacing w:line="240" w:lineRule="auto"/>
              <w:rPr>
                <w:color w:val="000000"/>
                <w:szCs w:val="22"/>
              </w:rPr>
            </w:pPr>
            <w:r w:rsidRPr="00323D5D">
              <w:rPr>
                <w:b/>
                <w:bCs/>
                <w:color w:val="000000"/>
                <w:szCs w:val="22"/>
              </w:rPr>
              <w:t>Total</w:t>
            </w:r>
          </w:p>
        </w:tc>
        <w:tc>
          <w:tcPr>
            <w:tcW w:w="859" w:type="pct"/>
            <w:tcBorders>
              <w:top w:val="nil"/>
              <w:left w:val="nil"/>
              <w:bottom w:val="single" w:sz="4" w:space="0" w:color="auto"/>
              <w:right w:val="single" w:sz="4" w:space="0" w:color="auto"/>
            </w:tcBorders>
            <w:shd w:val="clear" w:color="auto" w:fill="auto"/>
            <w:noWrap/>
            <w:vAlign w:val="bottom"/>
            <w:hideMark/>
          </w:tcPr>
          <w:p w:rsidR="009D3D5D" w:rsidRPr="00323D5D" w:rsidRDefault="009D3D5D">
            <w:pPr>
              <w:rPr>
                <w:color w:val="000000"/>
                <w:szCs w:val="22"/>
              </w:rPr>
            </w:pPr>
            <w:r w:rsidRPr="00323D5D">
              <w:rPr>
                <w:color w:val="000000"/>
                <w:szCs w:val="22"/>
              </w:rPr>
              <w:t xml:space="preserve"> $             75.85 </w:t>
            </w:r>
          </w:p>
        </w:tc>
      </w:tr>
    </w:tbl>
    <w:p w:rsidR="00F50E2A" w:rsidRDefault="00B1575F" w:rsidP="006A21C2">
      <w:pPr>
        <w:pStyle w:val="BodyText"/>
        <w:spacing w:after="0"/>
        <w:jc w:val="left"/>
      </w:pPr>
      <w:r w:rsidRPr="00323D5D">
        <w:rPr>
          <w:sz w:val="16"/>
          <w:szCs w:val="16"/>
        </w:rPr>
        <w:t xml:space="preserve">Source: </w:t>
      </w:r>
      <w:r w:rsidR="009D3D5D" w:rsidRPr="00323D5D">
        <w:rPr>
          <w:sz w:val="16"/>
          <w:szCs w:val="16"/>
        </w:rPr>
        <w:t>ATRI (2015)</w:t>
      </w:r>
    </w:p>
    <w:p w:rsidR="00FE1FA9" w:rsidRPr="00323D5D" w:rsidRDefault="00FE1FA9" w:rsidP="00002F3B">
      <w:pPr>
        <w:pStyle w:val="Heading4"/>
        <w:rPr>
          <w:rFonts w:ascii="Times New Roman" w:hAnsi="Times New Roman"/>
        </w:rPr>
      </w:pPr>
      <w:bookmarkStart w:id="112" w:name="_Toc448780320"/>
      <w:r w:rsidRPr="00323D5D">
        <w:rPr>
          <w:rFonts w:ascii="Times New Roman" w:hAnsi="Times New Roman"/>
        </w:rPr>
        <w:t xml:space="preserve">Vehicle Operating Costs – </w:t>
      </w:r>
      <w:proofErr w:type="spellStart"/>
      <w:r w:rsidRPr="00323D5D">
        <w:rPr>
          <w:rFonts w:ascii="Times New Roman" w:hAnsi="Times New Roman"/>
        </w:rPr>
        <w:t>Bustang</w:t>
      </w:r>
      <w:bookmarkEnd w:id="112"/>
      <w:proofErr w:type="spellEnd"/>
      <w:r w:rsidRPr="00323D5D">
        <w:rPr>
          <w:rFonts w:ascii="Times New Roman" w:hAnsi="Times New Roman"/>
        </w:rPr>
        <w:t xml:space="preserve"> </w:t>
      </w:r>
    </w:p>
    <w:p w:rsidR="00FE1FA9" w:rsidRPr="00323D5D" w:rsidRDefault="00FB0CE9" w:rsidP="00651623">
      <w:pPr>
        <w:pStyle w:val="BodyText"/>
      </w:pPr>
      <w:r w:rsidRPr="00323D5D">
        <w:t xml:space="preserve">For </w:t>
      </w:r>
      <w:proofErr w:type="spellStart"/>
      <w:r w:rsidRPr="00323D5D">
        <w:t>Bustang’s</w:t>
      </w:r>
      <w:proofErr w:type="spellEnd"/>
      <w:r w:rsidRPr="00323D5D">
        <w:t xml:space="preserve"> express services between the Northern I25 Corridor and Denver, a figure of $159 per operating hour </w:t>
      </w:r>
      <w:r w:rsidR="00690A50" w:rsidRPr="00323D5D">
        <w:t xml:space="preserve">of each </w:t>
      </w:r>
      <w:r w:rsidRPr="00323D5D">
        <w:t xml:space="preserve">bus, as provided by CDOT, has been used in this analysis.  </w:t>
      </w:r>
      <w:r w:rsidR="00F50E2A">
        <w:t xml:space="preserve">This analysis has assumed that that operating cost will remain constant throughout the assessment period. </w:t>
      </w:r>
    </w:p>
    <w:p w:rsidR="00023173" w:rsidRDefault="00023173" w:rsidP="00002F3B">
      <w:pPr>
        <w:pStyle w:val="Heading3"/>
        <w:rPr>
          <w:rFonts w:ascii="Times New Roman" w:hAnsi="Times New Roman" w:cs="Times New Roman"/>
        </w:rPr>
      </w:pPr>
      <w:bookmarkStart w:id="113" w:name="_Toc448780321"/>
      <w:r>
        <w:rPr>
          <w:rFonts w:ascii="Times New Roman" w:hAnsi="Times New Roman" w:cs="Times New Roman"/>
        </w:rPr>
        <w:t>Assumptions – Infrastructure Operations and Maintenance</w:t>
      </w:r>
      <w:bookmarkEnd w:id="113"/>
      <w:r>
        <w:rPr>
          <w:rFonts w:ascii="Times New Roman" w:hAnsi="Times New Roman" w:cs="Times New Roman"/>
        </w:rPr>
        <w:t xml:space="preserve"> </w:t>
      </w:r>
    </w:p>
    <w:p w:rsidR="00FB0CE9" w:rsidRPr="00323D5D" w:rsidRDefault="00FB0CE9" w:rsidP="006A21C2">
      <w:pPr>
        <w:pStyle w:val="Heading4"/>
      </w:pPr>
      <w:bookmarkStart w:id="114" w:name="_Toc448780322"/>
      <w:r w:rsidRPr="00323D5D">
        <w:t>Operations and Maintenance Costs –</w:t>
      </w:r>
      <w:r w:rsidR="00D13122" w:rsidRPr="00323D5D">
        <w:t xml:space="preserve"> </w:t>
      </w:r>
      <w:r w:rsidR="00186D9B">
        <w:t>General Purpose and Managed Lanes</w:t>
      </w:r>
      <w:bookmarkEnd w:id="114"/>
    </w:p>
    <w:p w:rsidR="00FB0CE9" w:rsidRPr="00323D5D" w:rsidRDefault="00D13122" w:rsidP="00651623">
      <w:pPr>
        <w:pStyle w:val="BodyText"/>
      </w:pPr>
      <w:r w:rsidRPr="00323D5D">
        <w:t>The baseline figure for operations and maintenance</w:t>
      </w:r>
      <w:r w:rsidR="00617840" w:rsidRPr="00323D5D">
        <w:t xml:space="preserve"> (O&amp;M)</w:t>
      </w:r>
      <w:r w:rsidRPr="00323D5D">
        <w:t xml:space="preserve"> cost of the </w:t>
      </w:r>
      <w:r w:rsidR="00186D9B">
        <w:t>general purpose and managed lanes</w:t>
      </w:r>
      <w:r w:rsidRPr="00323D5D">
        <w:t xml:space="preserve"> is $14,200 per lane mile per annum, representative CDOT’s average per lane </w:t>
      </w:r>
      <w:r w:rsidR="00F50E2A">
        <w:t xml:space="preserve">O&amp;M </w:t>
      </w:r>
      <w:r w:rsidRPr="00323D5D">
        <w:t xml:space="preserve">expenditure over the past three years.  </w:t>
      </w:r>
    </w:p>
    <w:p w:rsidR="00D13122" w:rsidRPr="00323D5D" w:rsidRDefault="00D13122" w:rsidP="00651623">
      <w:pPr>
        <w:pStyle w:val="BodyText"/>
      </w:pPr>
      <w:r w:rsidRPr="00323D5D">
        <w:t xml:space="preserve">For the build scenario, under which general purpose lanes will be rehabilitated and new managed lanes introduced, an operations and maintenance cost </w:t>
      </w:r>
      <w:r w:rsidR="007D7CAF" w:rsidRPr="00323D5D">
        <w:t xml:space="preserve">comparable to current CDOT maintenance costs for newly rehabilitated highways </w:t>
      </w:r>
      <w:r w:rsidRPr="00323D5D">
        <w:t>of $</w:t>
      </w:r>
      <w:r w:rsidR="007D7CAF" w:rsidRPr="00323D5D">
        <w:t>7</w:t>
      </w:r>
      <w:r w:rsidRPr="00323D5D">
        <w:t>,</w:t>
      </w:r>
      <w:r w:rsidR="007D7CAF" w:rsidRPr="00323D5D">
        <w:t>2</w:t>
      </w:r>
      <w:r w:rsidRPr="00323D5D">
        <w:t>00 per lane mile per annum has been assumed for the first 10 years</w:t>
      </w:r>
      <w:r w:rsidR="00F50E2A">
        <w:t xml:space="preserve"> of operation</w:t>
      </w:r>
      <w:r w:rsidR="007D7CAF" w:rsidRPr="00323D5D">
        <w:t xml:space="preserve">.  For the remaining 10 years of the assessment period, the annual </w:t>
      </w:r>
      <w:r w:rsidR="00634147">
        <w:t>O&amp;M</w:t>
      </w:r>
      <w:r w:rsidR="007D7CAF" w:rsidRPr="00323D5D">
        <w:t xml:space="preserve"> cost will rise to current baseline scenario assumption of $14,200 (in $2016) per lane mile. </w:t>
      </w:r>
      <w:r w:rsidR="00617840" w:rsidRPr="00323D5D">
        <w:t xml:space="preserve"> </w:t>
      </w:r>
    </w:p>
    <w:p w:rsidR="00617840" w:rsidRDefault="00617840" w:rsidP="00651623">
      <w:pPr>
        <w:pStyle w:val="BodyText"/>
      </w:pPr>
      <w:r w:rsidRPr="00323D5D">
        <w:t xml:space="preserve">An overview of the O&amp;M cost for general purpose and </w:t>
      </w:r>
      <w:proofErr w:type="gramStart"/>
      <w:r w:rsidRPr="00323D5D">
        <w:t>managed lanes is</w:t>
      </w:r>
      <w:proofErr w:type="gramEnd"/>
      <w:r w:rsidRPr="00323D5D">
        <w:t xml:space="preserve"> shown in Table </w:t>
      </w:r>
      <w:r w:rsidR="00F3566B">
        <w:t>7</w:t>
      </w:r>
      <w:r w:rsidR="00F50E2A">
        <w:t>.</w:t>
      </w:r>
    </w:p>
    <w:p w:rsidR="00617840" w:rsidRPr="00323D5D" w:rsidRDefault="00617840" w:rsidP="00617840">
      <w:pPr>
        <w:pStyle w:val="BodyText"/>
        <w:spacing w:after="0"/>
        <w:jc w:val="center"/>
        <w:rPr>
          <w:b/>
          <w:sz w:val="18"/>
          <w:szCs w:val="18"/>
        </w:rPr>
      </w:pPr>
      <w:r w:rsidRPr="00323D5D">
        <w:rPr>
          <w:b/>
          <w:sz w:val="18"/>
          <w:szCs w:val="18"/>
        </w:rPr>
        <w:t xml:space="preserve">Table </w:t>
      </w:r>
      <w:r w:rsidR="00F3566B">
        <w:rPr>
          <w:b/>
          <w:sz w:val="18"/>
          <w:szCs w:val="18"/>
        </w:rPr>
        <w:t>7</w:t>
      </w:r>
      <w:r w:rsidRPr="00323D5D">
        <w:rPr>
          <w:b/>
          <w:sz w:val="18"/>
          <w:szCs w:val="18"/>
        </w:rPr>
        <w:t xml:space="preserve">: Operations and Maintenance Costs – General Purpose and Managed Lanes </w:t>
      </w:r>
    </w:p>
    <w:tbl>
      <w:tblPr>
        <w:tblW w:w="9343" w:type="dxa"/>
        <w:jc w:val="center"/>
        <w:tblInd w:w="93" w:type="dxa"/>
        <w:tblLook w:val="04A0" w:firstRow="1" w:lastRow="0" w:firstColumn="1" w:lastColumn="0" w:noHBand="0" w:noVBand="1"/>
      </w:tblPr>
      <w:tblGrid>
        <w:gridCol w:w="2920"/>
        <w:gridCol w:w="2361"/>
        <w:gridCol w:w="2031"/>
        <w:gridCol w:w="2031"/>
      </w:tblGrid>
      <w:tr w:rsidR="00617840" w:rsidRPr="00323D5D" w:rsidTr="00617840">
        <w:trPr>
          <w:trHeight w:val="288"/>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40" w:rsidRPr="00323D5D" w:rsidRDefault="00617840" w:rsidP="00617840">
            <w:pPr>
              <w:spacing w:line="240" w:lineRule="auto"/>
              <w:rPr>
                <w:color w:val="000000"/>
                <w:szCs w:val="22"/>
              </w:rPr>
            </w:pPr>
            <w:r w:rsidRPr="00323D5D">
              <w:rPr>
                <w:color w:val="000000"/>
                <w:szCs w:val="22"/>
              </w:rPr>
              <w:t> </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rsidR="00617840" w:rsidRPr="00323D5D" w:rsidRDefault="00617840" w:rsidP="00617840">
            <w:pPr>
              <w:spacing w:line="240" w:lineRule="auto"/>
              <w:rPr>
                <w:b/>
                <w:bCs/>
                <w:color w:val="000000"/>
                <w:szCs w:val="22"/>
              </w:rPr>
            </w:pPr>
            <w:r w:rsidRPr="00323D5D">
              <w:rPr>
                <w:b/>
                <w:bCs/>
                <w:color w:val="000000"/>
                <w:szCs w:val="22"/>
              </w:rPr>
              <w:t>Baseline (2021-2040)</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617840" w:rsidRPr="00323D5D" w:rsidRDefault="00617840" w:rsidP="00617840">
            <w:pPr>
              <w:spacing w:line="240" w:lineRule="auto"/>
              <w:rPr>
                <w:b/>
                <w:bCs/>
                <w:color w:val="000000"/>
                <w:szCs w:val="22"/>
              </w:rPr>
            </w:pPr>
            <w:r w:rsidRPr="00323D5D">
              <w:rPr>
                <w:b/>
                <w:bCs/>
                <w:color w:val="000000"/>
                <w:szCs w:val="22"/>
              </w:rPr>
              <w:t>Build (2021-2030)</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617840" w:rsidRPr="00323D5D" w:rsidRDefault="00617840" w:rsidP="00617840">
            <w:pPr>
              <w:spacing w:line="240" w:lineRule="auto"/>
              <w:rPr>
                <w:b/>
                <w:bCs/>
                <w:color w:val="000000"/>
                <w:szCs w:val="22"/>
              </w:rPr>
            </w:pPr>
            <w:r w:rsidRPr="00323D5D">
              <w:rPr>
                <w:b/>
                <w:bCs/>
                <w:color w:val="000000"/>
                <w:szCs w:val="22"/>
              </w:rPr>
              <w:t>Build (2031-2040)</w:t>
            </w:r>
            <w:r w:rsidR="00F50E2A">
              <w:rPr>
                <w:b/>
                <w:bCs/>
                <w:color w:val="000000"/>
                <w:szCs w:val="22"/>
              </w:rPr>
              <w:t>*</w:t>
            </w:r>
          </w:p>
        </w:tc>
      </w:tr>
      <w:tr w:rsidR="00617840" w:rsidRPr="00323D5D" w:rsidTr="00617840">
        <w:trPr>
          <w:trHeight w:val="288"/>
          <w:jc w:val="center"/>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617840" w:rsidRPr="00323D5D" w:rsidRDefault="00617840" w:rsidP="00617840">
            <w:pPr>
              <w:spacing w:line="240" w:lineRule="auto"/>
              <w:jc w:val="center"/>
              <w:rPr>
                <w:bCs/>
                <w:color w:val="000000"/>
                <w:szCs w:val="22"/>
              </w:rPr>
            </w:pPr>
            <w:r w:rsidRPr="00323D5D">
              <w:rPr>
                <w:bCs/>
                <w:color w:val="000000"/>
                <w:szCs w:val="22"/>
              </w:rPr>
              <w:t xml:space="preserve">O&amp;M Costs - General Purpose and Managed Lanes </w:t>
            </w: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40" w:rsidRPr="00323D5D" w:rsidRDefault="00617840" w:rsidP="00617840">
            <w:pPr>
              <w:spacing w:line="240" w:lineRule="auto"/>
              <w:jc w:val="center"/>
              <w:rPr>
                <w:b/>
                <w:bCs/>
                <w:color w:val="000000"/>
                <w:szCs w:val="22"/>
              </w:rPr>
            </w:pPr>
            <w:r w:rsidRPr="00323D5D">
              <w:rPr>
                <w:b/>
                <w:bCs/>
                <w:color w:val="000000"/>
                <w:szCs w:val="22"/>
              </w:rPr>
              <w:t>$/Lane Mile</w:t>
            </w:r>
          </w:p>
        </w:tc>
      </w:tr>
      <w:tr w:rsidR="00617840" w:rsidRPr="00323D5D" w:rsidTr="00617840">
        <w:trPr>
          <w:trHeight w:val="288"/>
          <w:jc w:val="center"/>
        </w:trPr>
        <w:tc>
          <w:tcPr>
            <w:tcW w:w="2920" w:type="dxa"/>
            <w:vMerge/>
            <w:tcBorders>
              <w:top w:val="nil"/>
              <w:left w:val="single" w:sz="4" w:space="0" w:color="auto"/>
              <w:bottom w:val="single" w:sz="4" w:space="0" w:color="000000"/>
              <w:right w:val="single" w:sz="4" w:space="0" w:color="auto"/>
            </w:tcBorders>
            <w:vAlign w:val="center"/>
            <w:hideMark/>
          </w:tcPr>
          <w:p w:rsidR="00617840" w:rsidRPr="00323D5D" w:rsidRDefault="00617840" w:rsidP="00617840">
            <w:pPr>
              <w:spacing w:line="240" w:lineRule="auto"/>
              <w:rPr>
                <w:b/>
                <w:bCs/>
                <w:color w:val="000000"/>
                <w:szCs w:val="22"/>
              </w:rPr>
            </w:pPr>
          </w:p>
        </w:tc>
        <w:tc>
          <w:tcPr>
            <w:tcW w:w="23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7840" w:rsidRPr="00323D5D" w:rsidRDefault="00617840" w:rsidP="00617840">
            <w:pPr>
              <w:spacing w:line="240" w:lineRule="auto"/>
              <w:jc w:val="center"/>
              <w:rPr>
                <w:color w:val="000000"/>
                <w:szCs w:val="22"/>
              </w:rPr>
            </w:pPr>
            <w:r w:rsidRPr="00323D5D">
              <w:rPr>
                <w:color w:val="000000"/>
                <w:szCs w:val="22"/>
              </w:rPr>
              <w:t xml:space="preserve"> $                      14,200 </w:t>
            </w:r>
          </w:p>
        </w:tc>
        <w:tc>
          <w:tcPr>
            <w:tcW w:w="2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7840" w:rsidRPr="00323D5D" w:rsidRDefault="00617840" w:rsidP="00617840">
            <w:pPr>
              <w:spacing w:line="240" w:lineRule="auto"/>
              <w:jc w:val="center"/>
              <w:rPr>
                <w:color w:val="000000"/>
                <w:szCs w:val="22"/>
              </w:rPr>
            </w:pPr>
            <w:r w:rsidRPr="00323D5D">
              <w:rPr>
                <w:color w:val="000000"/>
                <w:szCs w:val="22"/>
              </w:rPr>
              <w:t xml:space="preserve"> $                  7,300 </w:t>
            </w:r>
          </w:p>
        </w:tc>
        <w:tc>
          <w:tcPr>
            <w:tcW w:w="2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7840" w:rsidRPr="00323D5D" w:rsidRDefault="00617840" w:rsidP="00617840">
            <w:pPr>
              <w:spacing w:line="240" w:lineRule="auto"/>
              <w:jc w:val="center"/>
              <w:rPr>
                <w:color w:val="000000"/>
                <w:szCs w:val="22"/>
              </w:rPr>
            </w:pPr>
            <w:r w:rsidRPr="00323D5D">
              <w:rPr>
                <w:color w:val="000000"/>
                <w:szCs w:val="22"/>
              </w:rPr>
              <w:t xml:space="preserve"> $                14,200 </w:t>
            </w:r>
          </w:p>
        </w:tc>
      </w:tr>
      <w:tr w:rsidR="00617840" w:rsidRPr="00323D5D" w:rsidTr="00617840">
        <w:trPr>
          <w:trHeight w:val="288"/>
          <w:jc w:val="center"/>
        </w:trPr>
        <w:tc>
          <w:tcPr>
            <w:tcW w:w="2920" w:type="dxa"/>
            <w:vMerge/>
            <w:tcBorders>
              <w:top w:val="nil"/>
              <w:left w:val="single" w:sz="4" w:space="0" w:color="auto"/>
              <w:bottom w:val="single" w:sz="4" w:space="0" w:color="000000"/>
              <w:right w:val="single" w:sz="4" w:space="0" w:color="auto"/>
            </w:tcBorders>
            <w:vAlign w:val="center"/>
            <w:hideMark/>
          </w:tcPr>
          <w:p w:rsidR="00617840" w:rsidRPr="00323D5D" w:rsidRDefault="00617840" w:rsidP="00617840">
            <w:pPr>
              <w:spacing w:line="240" w:lineRule="auto"/>
              <w:rPr>
                <w:b/>
                <w:bCs/>
                <w:color w:val="000000"/>
                <w:szCs w:val="22"/>
              </w:rPr>
            </w:pPr>
          </w:p>
        </w:tc>
        <w:tc>
          <w:tcPr>
            <w:tcW w:w="2361" w:type="dxa"/>
            <w:vMerge/>
            <w:tcBorders>
              <w:top w:val="nil"/>
              <w:left w:val="single" w:sz="4" w:space="0" w:color="auto"/>
              <w:bottom w:val="single" w:sz="4" w:space="0" w:color="000000"/>
              <w:right w:val="single" w:sz="4" w:space="0" w:color="auto"/>
            </w:tcBorders>
            <w:vAlign w:val="center"/>
            <w:hideMark/>
          </w:tcPr>
          <w:p w:rsidR="00617840" w:rsidRPr="00323D5D" w:rsidRDefault="00617840" w:rsidP="00617840">
            <w:pPr>
              <w:spacing w:line="240" w:lineRule="auto"/>
              <w:rPr>
                <w:color w:val="000000"/>
                <w:szCs w:val="22"/>
              </w:rPr>
            </w:pPr>
          </w:p>
        </w:tc>
        <w:tc>
          <w:tcPr>
            <w:tcW w:w="2031" w:type="dxa"/>
            <w:vMerge/>
            <w:tcBorders>
              <w:top w:val="nil"/>
              <w:left w:val="single" w:sz="4" w:space="0" w:color="auto"/>
              <w:bottom w:val="single" w:sz="4" w:space="0" w:color="000000"/>
              <w:right w:val="single" w:sz="4" w:space="0" w:color="auto"/>
            </w:tcBorders>
            <w:vAlign w:val="center"/>
            <w:hideMark/>
          </w:tcPr>
          <w:p w:rsidR="00617840" w:rsidRPr="00323D5D" w:rsidRDefault="00617840" w:rsidP="00617840">
            <w:pPr>
              <w:spacing w:line="240" w:lineRule="auto"/>
              <w:rPr>
                <w:color w:val="000000"/>
                <w:szCs w:val="22"/>
              </w:rPr>
            </w:pPr>
          </w:p>
        </w:tc>
        <w:tc>
          <w:tcPr>
            <w:tcW w:w="2031" w:type="dxa"/>
            <w:vMerge/>
            <w:tcBorders>
              <w:top w:val="nil"/>
              <w:left w:val="single" w:sz="4" w:space="0" w:color="auto"/>
              <w:bottom w:val="single" w:sz="4" w:space="0" w:color="000000"/>
              <w:right w:val="single" w:sz="4" w:space="0" w:color="auto"/>
            </w:tcBorders>
            <w:vAlign w:val="center"/>
            <w:hideMark/>
          </w:tcPr>
          <w:p w:rsidR="00617840" w:rsidRPr="00323D5D" w:rsidRDefault="00617840" w:rsidP="00617840">
            <w:pPr>
              <w:spacing w:line="240" w:lineRule="auto"/>
              <w:rPr>
                <w:color w:val="000000"/>
                <w:szCs w:val="22"/>
              </w:rPr>
            </w:pPr>
          </w:p>
        </w:tc>
      </w:tr>
    </w:tbl>
    <w:p w:rsidR="00F50E2A" w:rsidRDefault="00F50E2A" w:rsidP="006A21C2">
      <w:pPr>
        <w:pStyle w:val="BodyText"/>
        <w:spacing w:after="0"/>
        <w:rPr>
          <w:sz w:val="16"/>
          <w:szCs w:val="16"/>
        </w:rPr>
      </w:pPr>
      <w:r>
        <w:rPr>
          <w:sz w:val="16"/>
          <w:szCs w:val="16"/>
        </w:rPr>
        <w:t xml:space="preserve"> *A section of the general purpose lane will be rehabilitated asphalt pavement in 2020 will be replaced in 2030.  Accordingly, the O&amp;M cost for this section from 2031-2040 will be $7,300 per lane mile per annum.</w:t>
      </w:r>
    </w:p>
    <w:p w:rsidR="00617840" w:rsidRDefault="00617840" w:rsidP="006A21C2">
      <w:pPr>
        <w:pStyle w:val="BodyText"/>
        <w:spacing w:after="0"/>
        <w:rPr>
          <w:sz w:val="16"/>
          <w:szCs w:val="16"/>
        </w:rPr>
      </w:pPr>
      <w:r w:rsidRPr="00323D5D">
        <w:rPr>
          <w:sz w:val="16"/>
          <w:szCs w:val="16"/>
        </w:rPr>
        <w:t xml:space="preserve">Source: Colorado Department of Transportation </w:t>
      </w:r>
    </w:p>
    <w:p w:rsidR="00F50E2A" w:rsidRPr="00323D5D" w:rsidRDefault="00F50E2A" w:rsidP="006A21C2">
      <w:pPr>
        <w:pStyle w:val="BodyText"/>
        <w:spacing w:after="0"/>
      </w:pPr>
    </w:p>
    <w:p w:rsidR="00D13122" w:rsidRPr="00323D5D" w:rsidRDefault="00D13122" w:rsidP="006A21C2">
      <w:pPr>
        <w:pStyle w:val="Heading4"/>
      </w:pPr>
      <w:bookmarkStart w:id="115" w:name="_Toc448780323"/>
      <w:r w:rsidRPr="00323D5D">
        <w:t>Operations and Maintenance Costs – Bridges</w:t>
      </w:r>
      <w:bookmarkEnd w:id="115"/>
    </w:p>
    <w:p w:rsidR="003D33EB" w:rsidRDefault="003D33EB" w:rsidP="003D33EB">
      <w:pPr>
        <w:pStyle w:val="BodyText"/>
      </w:pPr>
      <w:r w:rsidRPr="00323D5D">
        <w:t>The build scenario proposes that certain bridges in the assessment corridor be widened and rehabilitated while others are proposed to be replaced.   In the absence of maintenance schedules for both the bridges proposed for widening and rehabilitation and those proposed for replacement, this analysis assumes that operations and maintenance costs of these structures will be equal to 0.5% of the capital cost per annum</w:t>
      </w:r>
      <w:r>
        <w:t>.</w:t>
      </w:r>
    </w:p>
    <w:p w:rsidR="00282FC6" w:rsidRDefault="00D13122" w:rsidP="00651623">
      <w:pPr>
        <w:pStyle w:val="BodyText"/>
      </w:pPr>
      <w:r w:rsidRPr="00323D5D">
        <w:lastRenderedPageBreak/>
        <w:t xml:space="preserve">Baseline </w:t>
      </w:r>
      <w:r w:rsidR="00814258" w:rsidRPr="00323D5D">
        <w:t>O&amp;M</w:t>
      </w:r>
      <w:r w:rsidRPr="00323D5D">
        <w:t xml:space="preserve"> costs for bridges are largely comprised of scheduled maintenance and </w:t>
      </w:r>
      <w:r w:rsidR="00F50E2A">
        <w:t>repairs</w:t>
      </w:r>
      <w:r w:rsidRPr="00323D5D">
        <w:t xml:space="preserve">.  </w:t>
      </w:r>
      <w:r w:rsidR="00282FC6" w:rsidRPr="00323D5D">
        <w:t>Other maintenance costs are associated with unscheduled maintenance</w:t>
      </w:r>
      <w:r w:rsidR="00F50E2A">
        <w:t xml:space="preserve"> as well as</w:t>
      </w:r>
      <w:r w:rsidR="00282FC6" w:rsidRPr="00323D5D">
        <w:t xml:space="preserve"> inspections and repairs following flood events. </w:t>
      </w:r>
      <w:r w:rsidR="00814258" w:rsidRPr="00323D5D">
        <w:t xml:space="preserve">Current O&amp;M costs for structures within the assessment corridor are not available. To allow for equal consideration of O&amp;M costs for the baseline scenario, this analysis assumes that </w:t>
      </w:r>
      <w:r w:rsidR="00634147">
        <w:t>O&amp;M</w:t>
      </w:r>
      <w:r w:rsidR="00814258" w:rsidRPr="00323D5D">
        <w:t xml:space="preserve"> costs of these structures will be equal to an annual 0.5% of the capital cost associated with the widening and replacement of these structures in the build scenario.  Under this rationale, there is no different in O&amp;M costs for </w:t>
      </w:r>
      <w:r w:rsidR="00FC1390">
        <w:t>bridges</w:t>
      </w:r>
      <w:r w:rsidR="00814258" w:rsidRPr="00323D5D">
        <w:t xml:space="preserve"> between the baseline and build scenario.  </w:t>
      </w:r>
      <w:r w:rsidR="00282FC6" w:rsidRPr="00323D5D">
        <w:t xml:space="preserve"> </w:t>
      </w:r>
    </w:p>
    <w:p w:rsidR="00FC1390" w:rsidRDefault="00FC1390" w:rsidP="00FC1390">
      <w:pPr>
        <w:pStyle w:val="Heading4"/>
      </w:pPr>
      <w:bookmarkStart w:id="116" w:name="_Toc448162909"/>
      <w:bookmarkStart w:id="117" w:name="_Toc448163229"/>
      <w:bookmarkStart w:id="118" w:name="_Toc448163549"/>
      <w:bookmarkStart w:id="119" w:name="_Toc448162914"/>
      <w:bookmarkStart w:id="120" w:name="_Toc448163234"/>
      <w:bookmarkStart w:id="121" w:name="_Toc448163554"/>
      <w:bookmarkStart w:id="122" w:name="_Toc448162919"/>
      <w:bookmarkStart w:id="123" w:name="_Toc448163239"/>
      <w:bookmarkStart w:id="124" w:name="_Toc448163559"/>
      <w:bookmarkStart w:id="125" w:name="_Toc448162929"/>
      <w:bookmarkStart w:id="126" w:name="_Toc448163249"/>
      <w:bookmarkStart w:id="127" w:name="_Toc448163569"/>
      <w:bookmarkStart w:id="128" w:name="_Toc448780324"/>
      <w:bookmarkEnd w:id="116"/>
      <w:bookmarkEnd w:id="117"/>
      <w:bookmarkEnd w:id="118"/>
      <w:bookmarkEnd w:id="119"/>
      <w:bookmarkEnd w:id="120"/>
      <w:bookmarkEnd w:id="121"/>
      <w:bookmarkEnd w:id="122"/>
      <w:bookmarkEnd w:id="123"/>
      <w:bookmarkEnd w:id="124"/>
      <w:bookmarkEnd w:id="125"/>
      <w:bookmarkEnd w:id="126"/>
      <w:bookmarkEnd w:id="127"/>
      <w:r w:rsidRPr="00323D5D">
        <w:t xml:space="preserve">Operations and Maintenance Costs – </w:t>
      </w:r>
      <w:r>
        <w:t>Bus Related Infrastructure</w:t>
      </w:r>
      <w:bookmarkEnd w:id="128"/>
      <w:r>
        <w:t xml:space="preserve"> </w:t>
      </w:r>
    </w:p>
    <w:p w:rsidR="00FC1390" w:rsidRPr="00FC1390" w:rsidRDefault="00FC1390" w:rsidP="00FC1390">
      <w:pPr>
        <w:pStyle w:val="BodyText"/>
      </w:pPr>
      <w:r>
        <w:t xml:space="preserve">As the bus slips are within the interstate corridor, their annual maintenance cost has been included within the annual O&amp;M costs for general purpose and managed lanes described in 2.1.4.1.  Maintenance costs for the Park and Ride facility will comprise utilities and cleaning, and for the parking lot: snow removal, striping, and ad hoc resurfacing.  These annual O&amp;M costs are assumed to be equal to 3% of the facility’s capital cost (excluding right of way) or approximately $82,200 per annum. </w:t>
      </w:r>
    </w:p>
    <w:p w:rsidR="00C20C45" w:rsidRPr="00323D5D" w:rsidRDefault="00023173" w:rsidP="00002F3B">
      <w:pPr>
        <w:pStyle w:val="Heading3"/>
        <w:rPr>
          <w:rFonts w:ascii="Times New Roman" w:hAnsi="Times New Roman" w:cs="Times New Roman"/>
        </w:rPr>
      </w:pPr>
      <w:bookmarkStart w:id="129" w:name="_Toc448780325"/>
      <w:r>
        <w:rPr>
          <w:rFonts w:ascii="Times New Roman" w:hAnsi="Times New Roman" w:cs="Times New Roman"/>
        </w:rPr>
        <w:t xml:space="preserve">Assumptions - </w:t>
      </w:r>
      <w:r w:rsidR="00C20C45" w:rsidRPr="00323D5D">
        <w:rPr>
          <w:rFonts w:ascii="Times New Roman" w:hAnsi="Times New Roman" w:cs="Times New Roman"/>
        </w:rPr>
        <w:t>Safety</w:t>
      </w:r>
      <w:bookmarkEnd w:id="129"/>
    </w:p>
    <w:p w:rsidR="007514CB" w:rsidRPr="00323D5D" w:rsidRDefault="00C20C45" w:rsidP="00651623">
      <w:pPr>
        <w:pStyle w:val="BodyText"/>
      </w:pPr>
      <w:r w:rsidRPr="00323D5D">
        <w:t>The analysis assumes that there will be neither an increase nor decrease in the incidence of accidents due to any structural changes to the highway network.  Rather, changes in the number of accidents w</w:t>
      </w:r>
      <w:r w:rsidR="00C00167" w:rsidRPr="00323D5D">
        <w:t>ould</w:t>
      </w:r>
      <w:r w:rsidRPr="00323D5D">
        <w:t xml:space="preserve"> be determined largely by an</w:t>
      </w:r>
      <w:r w:rsidR="007514CB" w:rsidRPr="00323D5D">
        <w:t>y</w:t>
      </w:r>
      <w:r w:rsidRPr="00323D5D">
        <w:t xml:space="preserve"> </w:t>
      </w:r>
      <w:r w:rsidR="007514CB" w:rsidRPr="00323D5D">
        <w:t>changes</w:t>
      </w:r>
      <w:r w:rsidRPr="00323D5D">
        <w:t xml:space="preserve"> in VMT</w:t>
      </w:r>
      <w:r w:rsidR="003D33EB">
        <w:t xml:space="preserve">. </w:t>
      </w:r>
      <w:r w:rsidR="007514CB" w:rsidRPr="00323D5D">
        <w:t xml:space="preserve">This approach captures the change in the occurrence of accidents as related to the difference in VMT between the </w:t>
      </w:r>
      <w:proofErr w:type="gramStart"/>
      <w:r w:rsidR="007514CB" w:rsidRPr="00323D5D">
        <w:t>baseline</w:t>
      </w:r>
      <w:proofErr w:type="gramEnd"/>
      <w:r w:rsidR="007514CB" w:rsidRPr="00323D5D">
        <w:t xml:space="preserve"> and build scenario</w:t>
      </w:r>
      <w:r w:rsidR="003D33EB">
        <w:t>s</w:t>
      </w:r>
      <w:r w:rsidR="007514CB" w:rsidRPr="00323D5D">
        <w:t xml:space="preserve">.  It does not, however, account for increased safety expected from road improvements such the segregation of the general purpose lanes from the managed lanes. </w:t>
      </w:r>
    </w:p>
    <w:p w:rsidR="00C20C45" w:rsidRPr="00323D5D" w:rsidRDefault="007514CB" w:rsidP="00651623">
      <w:pPr>
        <w:pStyle w:val="BodyText"/>
      </w:pPr>
      <w:r w:rsidRPr="00323D5D">
        <w:t>While it is not captured in this analysis, a reduction in VHT could also lead to a decrease in the incident of accidents.  A</w:t>
      </w:r>
      <w:r w:rsidR="00C20C45" w:rsidRPr="00323D5D">
        <w:t xml:space="preserve">s most accidents on interstate corridors comprise rear </w:t>
      </w:r>
      <w:r w:rsidR="00420FF0" w:rsidRPr="00323D5D">
        <w:t xml:space="preserve">end and sideswipe </w:t>
      </w:r>
      <w:r w:rsidR="00C20C45" w:rsidRPr="00323D5D">
        <w:t>co</w:t>
      </w:r>
      <w:r w:rsidRPr="00323D5D">
        <w:t>llisions during congestion, lower average levels of</w:t>
      </w:r>
      <w:r w:rsidR="00C20C45" w:rsidRPr="00323D5D">
        <w:t xml:space="preserve"> congestion and a higher average rate of travel, as indicated</w:t>
      </w:r>
      <w:r w:rsidRPr="00323D5D">
        <w:t xml:space="preserve"> by a decreased travel time through the corridor, would likely result in an reduction in the incidence of accidents.    </w:t>
      </w:r>
    </w:p>
    <w:p w:rsidR="00420FF0" w:rsidRDefault="00420FF0" w:rsidP="00651623">
      <w:pPr>
        <w:pStyle w:val="BodyText"/>
      </w:pPr>
      <w:r w:rsidRPr="00323D5D">
        <w:t xml:space="preserve">The rate of occurrence of accidents </w:t>
      </w:r>
      <w:r w:rsidR="00832181" w:rsidRPr="00323D5D">
        <w:t xml:space="preserve">for automobiles </w:t>
      </w:r>
      <w:r w:rsidRPr="00323D5D">
        <w:t>is benchmarked to the Bureau of Transportation Statistic’s Motor Vehicle Safety Data for 2016,</w:t>
      </w:r>
      <w:r w:rsidR="00832181" w:rsidRPr="00323D5D">
        <w:t xml:space="preserve"> while the rate of occurrence f</w:t>
      </w:r>
      <w:r w:rsidR="007514CB" w:rsidRPr="00323D5D">
        <w:t xml:space="preserve">or buses was benchmarked to </w:t>
      </w:r>
      <w:r w:rsidR="00832181" w:rsidRPr="00323D5D">
        <w:t>Federal Highway Administration’s data from 2013</w:t>
      </w:r>
      <w:r w:rsidR="00A93B4E">
        <w:rPr>
          <w:rStyle w:val="FootnoteReference"/>
        </w:rPr>
        <w:footnoteReference w:id="8"/>
      </w:r>
      <w:r w:rsidR="00A93B4E">
        <w:rPr>
          <w:rStyle w:val="FootnoteReference"/>
        </w:rPr>
        <w:footnoteReference w:id="9"/>
      </w:r>
      <w:r w:rsidR="00832181" w:rsidRPr="00323D5D">
        <w:t xml:space="preserve">.  The rate of occurrence for each per one hundred million vehicle miles is shown below in Table </w:t>
      </w:r>
      <w:r w:rsidR="00F3566B">
        <w:t>8</w:t>
      </w:r>
      <w:r w:rsidR="00832181" w:rsidRPr="00323D5D">
        <w:t>.</w:t>
      </w: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160EDE" w:rsidRDefault="00160EDE" w:rsidP="00651623">
      <w:pPr>
        <w:pStyle w:val="BodyText"/>
      </w:pPr>
    </w:p>
    <w:p w:rsidR="00420FF0" w:rsidRPr="00323D5D" w:rsidRDefault="00420FF0" w:rsidP="00420FF0">
      <w:pPr>
        <w:pStyle w:val="BodyText"/>
        <w:spacing w:after="0"/>
        <w:jc w:val="center"/>
        <w:rPr>
          <w:b/>
          <w:sz w:val="18"/>
          <w:szCs w:val="18"/>
        </w:rPr>
      </w:pPr>
      <w:r w:rsidRPr="00323D5D">
        <w:rPr>
          <w:b/>
          <w:sz w:val="18"/>
          <w:szCs w:val="18"/>
        </w:rPr>
        <w:lastRenderedPageBreak/>
        <w:t xml:space="preserve">Table </w:t>
      </w:r>
      <w:r w:rsidR="00F3566B">
        <w:rPr>
          <w:b/>
          <w:sz w:val="18"/>
          <w:szCs w:val="18"/>
        </w:rPr>
        <w:t>8</w:t>
      </w:r>
      <w:r w:rsidRPr="00323D5D">
        <w:rPr>
          <w:b/>
          <w:sz w:val="18"/>
          <w:szCs w:val="18"/>
        </w:rPr>
        <w:t xml:space="preserve">: Auto </w:t>
      </w:r>
      <w:r w:rsidR="00832181" w:rsidRPr="00323D5D">
        <w:rPr>
          <w:b/>
          <w:sz w:val="18"/>
          <w:szCs w:val="18"/>
        </w:rPr>
        <w:t xml:space="preserve">and Bus </w:t>
      </w:r>
      <w:r w:rsidRPr="00323D5D">
        <w:rPr>
          <w:b/>
          <w:sz w:val="18"/>
          <w:szCs w:val="18"/>
        </w:rPr>
        <w:t>Accidents by Type per 100,000,000 VMT</w:t>
      </w:r>
    </w:p>
    <w:tbl>
      <w:tblPr>
        <w:tblW w:w="5000" w:type="pct"/>
        <w:jc w:val="center"/>
        <w:tblLook w:val="04A0" w:firstRow="1" w:lastRow="0" w:firstColumn="1" w:lastColumn="0" w:noHBand="0" w:noVBand="1"/>
      </w:tblPr>
      <w:tblGrid>
        <w:gridCol w:w="2436"/>
        <w:gridCol w:w="2982"/>
        <w:gridCol w:w="4158"/>
      </w:tblGrid>
      <w:tr w:rsidR="00832181" w:rsidRPr="00323D5D" w:rsidTr="00D319D4">
        <w:trPr>
          <w:trHeight w:val="288"/>
          <w:jc w:val="center"/>
        </w:trPr>
        <w:tc>
          <w:tcPr>
            <w:tcW w:w="1272" w:type="pct"/>
            <w:tcBorders>
              <w:top w:val="single" w:sz="4" w:space="0" w:color="auto"/>
              <w:left w:val="single" w:sz="4" w:space="0" w:color="auto"/>
              <w:bottom w:val="single" w:sz="4" w:space="0" w:color="auto"/>
              <w:right w:val="nil"/>
            </w:tcBorders>
            <w:shd w:val="clear" w:color="auto" w:fill="auto"/>
            <w:noWrap/>
            <w:vAlign w:val="bottom"/>
            <w:hideMark/>
          </w:tcPr>
          <w:p w:rsidR="00832181" w:rsidRPr="00323D5D" w:rsidRDefault="00420FF0" w:rsidP="00832181">
            <w:pPr>
              <w:spacing w:line="240" w:lineRule="auto"/>
              <w:rPr>
                <w:b/>
                <w:bCs/>
                <w:color w:val="000000"/>
                <w:szCs w:val="22"/>
              </w:rPr>
            </w:pPr>
            <w:r w:rsidRPr="00323D5D">
              <w:rPr>
                <w:sz w:val="16"/>
                <w:szCs w:val="16"/>
              </w:rPr>
              <w:t xml:space="preserve">          </w:t>
            </w:r>
            <w:r w:rsidR="00832181" w:rsidRPr="00323D5D">
              <w:rPr>
                <w:b/>
                <w:bCs/>
                <w:color w:val="000000"/>
                <w:szCs w:val="22"/>
              </w:rPr>
              <w:t> </w:t>
            </w:r>
          </w:p>
        </w:tc>
        <w:tc>
          <w:tcPr>
            <w:tcW w:w="372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2181" w:rsidRPr="00323D5D" w:rsidRDefault="00832181" w:rsidP="00832181">
            <w:pPr>
              <w:spacing w:line="240" w:lineRule="auto"/>
              <w:jc w:val="center"/>
              <w:rPr>
                <w:b/>
                <w:bCs/>
                <w:color w:val="000000"/>
                <w:szCs w:val="22"/>
              </w:rPr>
            </w:pPr>
            <w:r w:rsidRPr="00323D5D">
              <w:rPr>
                <w:b/>
                <w:bCs/>
                <w:color w:val="000000"/>
                <w:szCs w:val="22"/>
              </w:rPr>
              <w:t>Rate per 100M VMT</w:t>
            </w:r>
          </w:p>
        </w:tc>
      </w:tr>
      <w:tr w:rsidR="00832181" w:rsidRPr="00323D5D" w:rsidTr="00D319D4">
        <w:trPr>
          <w:trHeight w:val="288"/>
          <w:jc w:val="center"/>
        </w:trPr>
        <w:tc>
          <w:tcPr>
            <w:tcW w:w="282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2181" w:rsidRPr="00323D5D" w:rsidRDefault="00832181" w:rsidP="00832181">
            <w:pPr>
              <w:spacing w:line="240" w:lineRule="auto"/>
              <w:jc w:val="right"/>
              <w:rPr>
                <w:b/>
                <w:bCs/>
                <w:color w:val="000000"/>
                <w:szCs w:val="22"/>
              </w:rPr>
            </w:pPr>
            <w:r w:rsidRPr="00323D5D">
              <w:rPr>
                <w:b/>
                <w:bCs/>
                <w:color w:val="000000"/>
                <w:szCs w:val="22"/>
              </w:rPr>
              <w:t>Car</w:t>
            </w:r>
          </w:p>
        </w:tc>
        <w:tc>
          <w:tcPr>
            <w:tcW w:w="2171"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b/>
                <w:bCs/>
                <w:color w:val="000000"/>
                <w:szCs w:val="22"/>
              </w:rPr>
            </w:pPr>
            <w:r w:rsidRPr="00323D5D">
              <w:rPr>
                <w:b/>
                <w:bCs/>
                <w:color w:val="000000"/>
                <w:szCs w:val="22"/>
              </w:rPr>
              <w:t>Bus</w:t>
            </w:r>
          </w:p>
        </w:tc>
      </w:tr>
      <w:tr w:rsidR="00832181" w:rsidRPr="00323D5D" w:rsidTr="00D319D4">
        <w:trPr>
          <w:trHeight w:val="288"/>
          <w:jc w:val="center"/>
        </w:trPr>
        <w:tc>
          <w:tcPr>
            <w:tcW w:w="1272" w:type="pct"/>
            <w:tcBorders>
              <w:top w:val="nil"/>
              <w:left w:val="single" w:sz="4" w:space="0" w:color="auto"/>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rPr>
                <w:b/>
                <w:bCs/>
                <w:color w:val="000000"/>
                <w:szCs w:val="22"/>
              </w:rPr>
            </w:pPr>
            <w:r w:rsidRPr="00323D5D">
              <w:rPr>
                <w:b/>
                <w:bCs/>
                <w:color w:val="000000"/>
                <w:szCs w:val="22"/>
              </w:rPr>
              <w:t>Fatalities</w:t>
            </w:r>
          </w:p>
        </w:tc>
        <w:tc>
          <w:tcPr>
            <w:tcW w:w="1557"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1.1008</w:t>
            </w:r>
          </w:p>
        </w:tc>
        <w:tc>
          <w:tcPr>
            <w:tcW w:w="2171"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0.5</w:t>
            </w:r>
          </w:p>
        </w:tc>
      </w:tr>
      <w:tr w:rsidR="00832181" w:rsidRPr="00323D5D" w:rsidTr="00D319D4">
        <w:trPr>
          <w:trHeight w:val="288"/>
          <w:jc w:val="center"/>
        </w:trPr>
        <w:tc>
          <w:tcPr>
            <w:tcW w:w="1272" w:type="pct"/>
            <w:tcBorders>
              <w:top w:val="nil"/>
              <w:left w:val="single" w:sz="4" w:space="0" w:color="auto"/>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rPr>
                <w:b/>
                <w:bCs/>
                <w:color w:val="000000"/>
                <w:szCs w:val="22"/>
              </w:rPr>
            </w:pPr>
            <w:r w:rsidRPr="00323D5D">
              <w:rPr>
                <w:b/>
                <w:bCs/>
                <w:color w:val="000000"/>
                <w:szCs w:val="22"/>
              </w:rPr>
              <w:t>Injured persons</w:t>
            </w:r>
          </w:p>
        </w:tc>
        <w:tc>
          <w:tcPr>
            <w:tcW w:w="1557"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80.0628</w:t>
            </w:r>
          </w:p>
        </w:tc>
        <w:tc>
          <w:tcPr>
            <w:tcW w:w="2171"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67.59857143</w:t>
            </w:r>
          </w:p>
        </w:tc>
      </w:tr>
      <w:tr w:rsidR="00832181" w:rsidRPr="00323D5D" w:rsidTr="00D319D4">
        <w:trPr>
          <w:trHeight w:val="288"/>
          <w:jc w:val="center"/>
        </w:trPr>
        <w:tc>
          <w:tcPr>
            <w:tcW w:w="1272" w:type="pct"/>
            <w:tcBorders>
              <w:top w:val="nil"/>
              <w:left w:val="single" w:sz="4" w:space="0" w:color="auto"/>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rPr>
                <w:b/>
                <w:bCs/>
                <w:color w:val="000000"/>
                <w:szCs w:val="22"/>
              </w:rPr>
            </w:pPr>
            <w:r w:rsidRPr="00323D5D">
              <w:rPr>
                <w:b/>
                <w:bCs/>
                <w:color w:val="000000"/>
                <w:szCs w:val="22"/>
              </w:rPr>
              <w:t>Crashes</w:t>
            </w:r>
          </w:p>
        </w:tc>
        <w:tc>
          <w:tcPr>
            <w:tcW w:w="1557"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190.3076</w:t>
            </w:r>
          </w:p>
        </w:tc>
        <w:tc>
          <w:tcPr>
            <w:tcW w:w="2171" w:type="pct"/>
            <w:tcBorders>
              <w:top w:val="nil"/>
              <w:left w:val="nil"/>
              <w:bottom w:val="single" w:sz="4" w:space="0" w:color="auto"/>
              <w:right w:val="single" w:sz="4" w:space="0" w:color="auto"/>
            </w:tcBorders>
            <w:shd w:val="clear" w:color="auto" w:fill="auto"/>
            <w:noWrap/>
            <w:vAlign w:val="bottom"/>
            <w:hideMark/>
          </w:tcPr>
          <w:p w:rsidR="00832181" w:rsidRPr="00323D5D" w:rsidRDefault="00832181" w:rsidP="00832181">
            <w:pPr>
              <w:spacing w:line="240" w:lineRule="auto"/>
              <w:jc w:val="right"/>
              <w:rPr>
                <w:color w:val="000000"/>
                <w:szCs w:val="22"/>
              </w:rPr>
            </w:pPr>
            <w:r w:rsidRPr="00323D5D">
              <w:rPr>
                <w:color w:val="000000"/>
                <w:szCs w:val="22"/>
              </w:rPr>
              <w:t>62.08428571</w:t>
            </w:r>
          </w:p>
        </w:tc>
      </w:tr>
    </w:tbl>
    <w:p w:rsidR="00420FF0" w:rsidRPr="00323D5D" w:rsidRDefault="00420FF0" w:rsidP="00D319D4">
      <w:pPr>
        <w:pStyle w:val="BodyText"/>
        <w:jc w:val="left"/>
        <w:rPr>
          <w:sz w:val="16"/>
          <w:szCs w:val="16"/>
        </w:rPr>
      </w:pPr>
      <w:r w:rsidRPr="00323D5D">
        <w:rPr>
          <w:sz w:val="16"/>
          <w:szCs w:val="16"/>
        </w:rPr>
        <w:t>Source: Department of Transportation (2013)</w:t>
      </w:r>
    </w:p>
    <w:p w:rsidR="00832181" w:rsidRPr="00323D5D" w:rsidRDefault="00832181" w:rsidP="00832181">
      <w:pPr>
        <w:pStyle w:val="BodyText"/>
        <w:jc w:val="left"/>
        <w:rPr>
          <w:szCs w:val="22"/>
        </w:rPr>
      </w:pPr>
      <w:r w:rsidRPr="00323D5D">
        <w:rPr>
          <w:szCs w:val="22"/>
        </w:rPr>
        <w:t>In order to convert the abovementioned accident rates into the appropriate Abbreviated Injury Scale (AIS) category for calculating benefits and costs, national statistics from the National Highway Traffic and Safety Administration were used.  Each of the AIS categories</w:t>
      </w:r>
      <w:r w:rsidR="00394301" w:rsidRPr="00323D5D">
        <w:rPr>
          <w:szCs w:val="22"/>
        </w:rPr>
        <w:t xml:space="preserve"> represents a level of severity of injury ranging from AIS – 0 (No Injury) to AIS – 6 (Not-Survivable).   </w:t>
      </w:r>
      <w:r w:rsidRPr="00323D5D">
        <w:rPr>
          <w:szCs w:val="22"/>
        </w:rPr>
        <w:t xml:space="preserve"> </w:t>
      </w:r>
      <w:r w:rsidR="00394301" w:rsidRPr="00323D5D">
        <w:rPr>
          <w:szCs w:val="22"/>
        </w:rPr>
        <w:t>Table</w:t>
      </w:r>
      <w:r w:rsidR="00A93B4E">
        <w:rPr>
          <w:szCs w:val="22"/>
        </w:rPr>
        <w:t xml:space="preserve"> </w:t>
      </w:r>
      <w:r w:rsidR="00F3566B">
        <w:rPr>
          <w:szCs w:val="22"/>
        </w:rPr>
        <w:t>9</w:t>
      </w:r>
      <w:r w:rsidR="00394301" w:rsidRPr="00323D5D">
        <w:rPr>
          <w:szCs w:val="22"/>
        </w:rPr>
        <w:t xml:space="preserve"> below provides an overview of each category </w:t>
      </w:r>
      <w:r w:rsidRPr="00323D5D">
        <w:rPr>
          <w:szCs w:val="22"/>
        </w:rPr>
        <w:t xml:space="preserve">as a proportion of all possible </w:t>
      </w:r>
      <w:r w:rsidR="00394301" w:rsidRPr="00323D5D">
        <w:rPr>
          <w:szCs w:val="22"/>
        </w:rPr>
        <w:t xml:space="preserve">non-fatal </w:t>
      </w:r>
      <w:r w:rsidRPr="00323D5D">
        <w:rPr>
          <w:szCs w:val="22"/>
        </w:rPr>
        <w:t xml:space="preserve">accident injuries. </w:t>
      </w:r>
    </w:p>
    <w:p w:rsidR="00832181" w:rsidRPr="00323D5D" w:rsidRDefault="00832181" w:rsidP="00832181">
      <w:pPr>
        <w:pStyle w:val="BodyText"/>
        <w:spacing w:after="0"/>
        <w:jc w:val="center"/>
        <w:rPr>
          <w:b/>
          <w:sz w:val="18"/>
          <w:szCs w:val="18"/>
        </w:rPr>
      </w:pPr>
      <w:r w:rsidRPr="00323D5D">
        <w:rPr>
          <w:b/>
          <w:sz w:val="18"/>
          <w:szCs w:val="18"/>
        </w:rPr>
        <w:t xml:space="preserve">Table </w:t>
      </w:r>
      <w:r w:rsidR="00F3566B">
        <w:rPr>
          <w:b/>
          <w:sz w:val="18"/>
          <w:szCs w:val="18"/>
        </w:rPr>
        <w:t>9</w:t>
      </w:r>
      <w:r w:rsidRPr="00323D5D">
        <w:rPr>
          <w:b/>
          <w:sz w:val="18"/>
          <w:szCs w:val="18"/>
        </w:rPr>
        <w:t xml:space="preserve">: </w:t>
      </w:r>
      <w:r w:rsidR="00394301" w:rsidRPr="00323D5D">
        <w:rPr>
          <w:b/>
          <w:sz w:val="18"/>
          <w:szCs w:val="18"/>
        </w:rPr>
        <w:t>Abbreviate Injury Scale Categories and Percentage of Occu</w:t>
      </w:r>
      <w:r w:rsidR="00ED5472" w:rsidRPr="00323D5D">
        <w:rPr>
          <w:b/>
          <w:sz w:val="18"/>
          <w:szCs w:val="18"/>
        </w:rPr>
        <w:t>r</w:t>
      </w:r>
      <w:r w:rsidR="00394301" w:rsidRPr="00323D5D">
        <w:rPr>
          <w:b/>
          <w:sz w:val="18"/>
          <w:szCs w:val="18"/>
        </w:rPr>
        <w:t>rence</w:t>
      </w:r>
    </w:p>
    <w:tbl>
      <w:tblPr>
        <w:tblW w:w="5000" w:type="pct"/>
        <w:jc w:val="center"/>
        <w:tblLook w:val="04A0" w:firstRow="1" w:lastRow="0" w:firstColumn="1" w:lastColumn="0" w:noHBand="0" w:noVBand="1"/>
      </w:tblPr>
      <w:tblGrid>
        <w:gridCol w:w="6303"/>
        <w:gridCol w:w="3273"/>
      </w:tblGrid>
      <w:tr w:rsidR="00394301" w:rsidRPr="00323D5D" w:rsidTr="0029208D">
        <w:trPr>
          <w:trHeight w:val="540"/>
          <w:jc w:val="center"/>
        </w:trPr>
        <w:tc>
          <w:tcPr>
            <w:tcW w:w="3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Category</w:t>
            </w:r>
          </w:p>
        </w:tc>
        <w:tc>
          <w:tcPr>
            <w:tcW w:w="1709" w:type="pct"/>
            <w:tcBorders>
              <w:top w:val="single" w:sz="4" w:space="0" w:color="auto"/>
              <w:left w:val="nil"/>
              <w:bottom w:val="single" w:sz="4" w:space="0" w:color="auto"/>
              <w:right w:val="single" w:sz="4" w:space="0" w:color="auto"/>
            </w:tcBorders>
            <w:shd w:val="clear" w:color="auto" w:fill="auto"/>
            <w:vAlign w:val="bottom"/>
            <w:hideMark/>
          </w:tcPr>
          <w:p w:rsidR="00394301" w:rsidRPr="00323D5D" w:rsidRDefault="00394301" w:rsidP="00394301">
            <w:pPr>
              <w:spacing w:line="240" w:lineRule="auto"/>
              <w:jc w:val="center"/>
              <w:rPr>
                <w:color w:val="000000"/>
                <w:sz w:val="20"/>
              </w:rPr>
            </w:pPr>
            <w:r w:rsidRPr="00323D5D">
              <w:rPr>
                <w:color w:val="000000"/>
                <w:sz w:val="20"/>
              </w:rPr>
              <w:t>% of occurrence</w:t>
            </w:r>
          </w:p>
        </w:tc>
      </w:tr>
      <w:tr w:rsidR="00394301" w:rsidRPr="00323D5D" w:rsidTr="0029208D">
        <w:trPr>
          <w:trHeight w:val="288"/>
          <w:jc w:val="center"/>
        </w:trPr>
        <w:tc>
          <w:tcPr>
            <w:tcW w:w="3291" w:type="pct"/>
            <w:tcBorders>
              <w:top w:val="nil"/>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AIS 1 – Minor</w:t>
            </w:r>
          </w:p>
        </w:tc>
        <w:tc>
          <w:tcPr>
            <w:tcW w:w="1709" w:type="pct"/>
            <w:tcBorders>
              <w:top w:val="nil"/>
              <w:left w:val="nil"/>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jc w:val="right"/>
              <w:rPr>
                <w:color w:val="000000"/>
                <w:szCs w:val="22"/>
              </w:rPr>
            </w:pPr>
            <w:r w:rsidRPr="00323D5D">
              <w:rPr>
                <w:color w:val="000000"/>
                <w:szCs w:val="22"/>
              </w:rPr>
              <w:t>88.46%</w:t>
            </w:r>
          </w:p>
        </w:tc>
      </w:tr>
      <w:tr w:rsidR="00394301" w:rsidRPr="00323D5D" w:rsidTr="0029208D">
        <w:trPr>
          <w:trHeight w:val="288"/>
          <w:jc w:val="center"/>
        </w:trPr>
        <w:tc>
          <w:tcPr>
            <w:tcW w:w="3291" w:type="pct"/>
            <w:tcBorders>
              <w:top w:val="nil"/>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AIS 2 – Moderate</w:t>
            </w:r>
          </w:p>
        </w:tc>
        <w:tc>
          <w:tcPr>
            <w:tcW w:w="1709" w:type="pct"/>
            <w:tcBorders>
              <w:top w:val="nil"/>
              <w:left w:val="nil"/>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jc w:val="right"/>
              <w:rPr>
                <w:color w:val="000000"/>
                <w:szCs w:val="22"/>
              </w:rPr>
            </w:pPr>
            <w:r w:rsidRPr="00323D5D">
              <w:rPr>
                <w:color w:val="000000"/>
                <w:szCs w:val="22"/>
              </w:rPr>
              <w:t>8.28%</w:t>
            </w:r>
          </w:p>
        </w:tc>
      </w:tr>
      <w:tr w:rsidR="00394301" w:rsidRPr="00323D5D" w:rsidTr="0029208D">
        <w:trPr>
          <w:trHeight w:val="288"/>
          <w:jc w:val="center"/>
        </w:trPr>
        <w:tc>
          <w:tcPr>
            <w:tcW w:w="3291" w:type="pct"/>
            <w:tcBorders>
              <w:top w:val="nil"/>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AIS 3 – Serious</w:t>
            </w:r>
          </w:p>
        </w:tc>
        <w:tc>
          <w:tcPr>
            <w:tcW w:w="1709" w:type="pct"/>
            <w:tcBorders>
              <w:top w:val="nil"/>
              <w:left w:val="nil"/>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jc w:val="right"/>
              <w:rPr>
                <w:color w:val="000000"/>
                <w:szCs w:val="22"/>
              </w:rPr>
            </w:pPr>
            <w:r w:rsidRPr="00323D5D">
              <w:rPr>
                <w:color w:val="000000"/>
                <w:szCs w:val="22"/>
              </w:rPr>
              <w:t>2.39%</w:t>
            </w:r>
          </w:p>
        </w:tc>
      </w:tr>
      <w:tr w:rsidR="00394301" w:rsidRPr="00323D5D" w:rsidTr="0029208D">
        <w:trPr>
          <w:trHeight w:val="288"/>
          <w:jc w:val="center"/>
        </w:trPr>
        <w:tc>
          <w:tcPr>
            <w:tcW w:w="3291" w:type="pct"/>
            <w:tcBorders>
              <w:top w:val="nil"/>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AIS 4 – Severe</w:t>
            </w:r>
          </w:p>
        </w:tc>
        <w:tc>
          <w:tcPr>
            <w:tcW w:w="1709" w:type="pct"/>
            <w:tcBorders>
              <w:top w:val="nil"/>
              <w:left w:val="nil"/>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jc w:val="right"/>
              <w:rPr>
                <w:color w:val="000000"/>
                <w:szCs w:val="22"/>
              </w:rPr>
            </w:pPr>
            <w:r w:rsidRPr="00323D5D">
              <w:rPr>
                <w:color w:val="000000"/>
                <w:szCs w:val="22"/>
              </w:rPr>
              <w:t>0.69%</w:t>
            </w:r>
          </w:p>
        </w:tc>
      </w:tr>
      <w:tr w:rsidR="00394301" w:rsidRPr="00323D5D" w:rsidTr="0029208D">
        <w:trPr>
          <w:trHeight w:val="288"/>
          <w:jc w:val="center"/>
        </w:trPr>
        <w:tc>
          <w:tcPr>
            <w:tcW w:w="3291" w:type="pct"/>
            <w:tcBorders>
              <w:top w:val="nil"/>
              <w:left w:val="single" w:sz="4" w:space="0" w:color="auto"/>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rPr>
                <w:color w:val="000000"/>
                <w:szCs w:val="22"/>
              </w:rPr>
            </w:pPr>
            <w:r w:rsidRPr="00323D5D">
              <w:rPr>
                <w:color w:val="000000"/>
                <w:szCs w:val="22"/>
              </w:rPr>
              <w:t xml:space="preserve">AIS 5 – Critical </w:t>
            </w:r>
          </w:p>
        </w:tc>
        <w:tc>
          <w:tcPr>
            <w:tcW w:w="1709" w:type="pct"/>
            <w:tcBorders>
              <w:top w:val="nil"/>
              <w:left w:val="nil"/>
              <w:bottom w:val="single" w:sz="4" w:space="0" w:color="auto"/>
              <w:right w:val="single" w:sz="4" w:space="0" w:color="auto"/>
            </w:tcBorders>
            <w:shd w:val="clear" w:color="auto" w:fill="auto"/>
            <w:noWrap/>
            <w:vAlign w:val="bottom"/>
            <w:hideMark/>
          </w:tcPr>
          <w:p w:rsidR="00394301" w:rsidRPr="00323D5D" w:rsidRDefault="00394301" w:rsidP="00394301">
            <w:pPr>
              <w:spacing w:line="240" w:lineRule="auto"/>
              <w:jc w:val="right"/>
              <w:rPr>
                <w:color w:val="000000"/>
                <w:szCs w:val="22"/>
              </w:rPr>
            </w:pPr>
            <w:r w:rsidRPr="00323D5D">
              <w:rPr>
                <w:color w:val="000000"/>
                <w:szCs w:val="22"/>
              </w:rPr>
              <w:t>0.18%</w:t>
            </w:r>
          </w:p>
        </w:tc>
      </w:tr>
    </w:tbl>
    <w:p w:rsidR="00832181" w:rsidRPr="00323D5D" w:rsidRDefault="00832181" w:rsidP="0029208D">
      <w:pPr>
        <w:pStyle w:val="BodyText"/>
        <w:jc w:val="left"/>
        <w:rPr>
          <w:sz w:val="16"/>
          <w:szCs w:val="16"/>
        </w:rPr>
      </w:pPr>
      <w:r w:rsidRPr="00323D5D">
        <w:rPr>
          <w:sz w:val="16"/>
          <w:szCs w:val="16"/>
        </w:rPr>
        <w:t xml:space="preserve">Source: </w:t>
      </w:r>
      <w:r w:rsidR="00394301" w:rsidRPr="00323D5D">
        <w:rPr>
          <w:sz w:val="16"/>
          <w:szCs w:val="16"/>
        </w:rPr>
        <w:t>NHTSA (2011)</w:t>
      </w:r>
    </w:p>
    <w:p w:rsidR="00832181" w:rsidRPr="00323D5D" w:rsidRDefault="00394301" w:rsidP="00832181">
      <w:pPr>
        <w:pStyle w:val="BodyText"/>
        <w:jc w:val="left"/>
        <w:rPr>
          <w:szCs w:val="22"/>
        </w:rPr>
      </w:pPr>
      <w:r w:rsidRPr="00323D5D">
        <w:rPr>
          <w:szCs w:val="22"/>
        </w:rPr>
        <w:t>AIS categories can be given a monetized value representative of a fraction of Monetized values for fatalities, and all ranges of injuries categorized on the AIS Scale, are addressed within the DOT’s guidance for “Treatment of the Econom</w:t>
      </w:r>
      <w:r w:rsidR="00A73C96" w:rsidRPr="00323D5D">
        <w:rPr>
          <w:szCs w:val="22"/>
        </w:rPr>
        <w:t>ic Value of a Statistical Life</w:t>
      </w:r>
      <w:r w:rsidR="00C00167" w:rsidRPr="00323D5D">
        <w:rPr>
          <w:szCs w:val="22"/>
        </w:rPr>
        <w:t xml:space="preserve"> </w:t>
      </w:r>
      <w:r w:rsidR="00A73C96" w:rsidRPr="00323D5D">
        <w:rPr>
          <w:szCs w:val="22"/>
        </w:rPr>
        <w:t>(VSL)”, and assigned a value representative of a fraction of VSL</w:t>
      </w:r>
      <w:r w:rsidR="00A93B4E">
        <w:rPr>
          <w:szCs w:val="22"/>
        </w:rPr>
        <w:t>, as shown in Table 1</w:t>
      </w:r>
      <w:r w:rsidR="00F3566B">
        <w:rPr>
          <w:szCs w:val="22"/>
        </w:rPr>
        <w:t>0</w:t>
      </w:r>
      <w:r w:rsidR="00A93B4E">
        <w:rPr>
          <w:szCs w:val="22"/>
        </w:rPr>
        <w:t>.</w:t>
      </w:r>
    </w:p>
    <w:p w:rsidR="00A73C96" w:rsidRPr="00323D5D" w:rsidRDefault="00A73C96" w:rsidP="00A73C96">
      <w:pPr>
        <w:pStyle w:val="BodyText"/>
        <w:spacing w:after="0"/>
        <w:jc w:val="center"/>
        <w:rPr>
          <w:b/>
          <w:sz w:val="18"/>
          <w:szCs w:val="18"/>
        </w:rPr>
      </w:pPr>
      <w:r w:rsidRPr="00323D5D">
        <w:rPr>
          <w:b/>
          <w:sz w:val="18"/>
          <w:szCs w:val="18"/>
        </w:rPr>
        <w:t xml:space="preserve">Table </w:t>
      </w:r>
      <w:r w:rsidR="00A93B4E">
        <w:rPr>
          <w:b/>
          <w:sz w:val="18"/>
          <w:szCs w:val="18"/>
        </w:rPr>
        <w:t>1</w:t>
      </w:r>
      <w:r w:rsidR="00F3566B">
        <w:rPr>
          <w:b/>
          <w:sz w:val="18"/>
          <w:szCs w:val="18"/>
        </w:rPr>
        <w:t>0</w:t>
      </w:r>
      <w:r w:rsidRPr="00323D5D">
        <w:rPr>
          <w:b/>
          <w:sz w:val="18"/>
          <w:szCs w:val="18"/>
        </w:rPr>
        <w:t>: Value of Injury and Recommended Monetary Value</w:t>
      </w:r>
    </w:p>
    <w:tbl>
      <w:tblPr>
        <w:tblW w:w="5000" w:type="pct"/>
        <w:jc w:val="center"/>
        <w:tblLook w:val="04A0" w:firstRow="1" w:lastRow="0" w:firstColumn="1" w:lastColumn="0" w:noHBand="0" w:noVBand="1"/>
      </w:tblPr>
      <w:tblGrid>
        <w:gridCol w:w="4650"/>
        <w:gridCol w:w="2413"/>
        <w:gridCol w:w="2513"/>
      </w:tblGrid>
      <w:tr w:rsidR="00A73C96" w:rsidRPr="00323D5D" w:rsidTr="006A21C2">
        <w:trPr>
          <w:trHeight w:val="540"/>
          <w:jc w:val="center"/>
        </w:trPr>
        <w:tc>
          <w:tcPr>
            <w:tcW w:w="2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73C96">
            <w:pPr>
              <w:spacing w:line="240" w:lineRule="auto"/>
              <w:jc w:val="center"/>
              <w:rPr>
                <w:color w:val="000000"/>
                <w:szCs w:val="22"/>
              </w:rPr>
            </w:pPr>
            <w:r w:rsidRPr="00323D5D">
              <w:rPr>
                <w:color w:val="000000"/>
                <w:szCs w:val="22"/>
              </w:rPr>
              <w:t>Category</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rsidR="00A73C96" w:rsidRPr="00323D5D" w:rsidRDefault="00A73C96" w:rsidP="00A73C96">
            <w:pPr>
              <w:spacing w:line="240" w:lineRule="auto"/>
              <w:jc w:val="center"/>
              <w:rPr>
                <w:color w:val="000000"/>
                <w:sz w:val="20"/>
              </w:rPr>
            </w:pPr>
            <w:r w:rsidRPr="00323D5D">
              <w:rPr>
                <w:color w:val="000000"/>
                <w:sz w:val="20"/>
              </w:rPr>
              <w:t>Fraction of VSL</w:t>
            </w:r>
          </w:p>
        </w:tc>
        <w:tc>
          <w:tcPr>
            <w:tcW w:w="1312" w:type="pct"/>
            <w:tcBorders>
              <w:top w:val="single" w:sz="4" w:space="0" w:color="auto"/>
              <w:left w:val="nil"/>
              <w:bottom w:val="single" w:sz="4" w:space="0" w:color="auto"/>
              <w:right w:val="single" w:sz="4" w:space="0" w:color="auto"/>
            </w:tcBorders>
            <w:vAlign w:val="center"/>
          </w:tcPr>
          <w:p w:rsidR="00A73C96" w:rsidRPr="00323D5D" w:rsidRDefault="00A73C96" w:rsidP="00A73C96">
            <w:pPr>
              <w:spacing w:line="240" w:lineRule="auto"/>
              <w:jc w:val="center"/>
              <w:rPr>
                <w:color w:val="000000"/>
                <w:sz w:val="20"/>
              </w:rPr>
            </w:pPr>
            <w:r w:rsidRPr="00323D5D">
              <w:rPr>
                <w:color w:val="000000"/>
                <w:sz w:val="20"/>
              </w:rPr>
              <w:t>Recommended Monetary Value ($2016M)</w:t>
            </w:r>
          </w:p>
        </w:tc>
      </w:tr>
      <w:tr w:rsidR="00A73C96" w:rsidRPr="00323D5D" w:rsidTr="006A21C2">
        <w:trPr>
          <w:trHeight w:val="288"/>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93B4E">
            <w:pPr>
              <w:spacing w:line="240" w:lineRule="auto"/>
              <w:rPr>
                <w:color w:val="000000"/>
                <w:szCs w:val="22"/>
              </w:rPr>
            </w:pPr>
            <w:r w:rsidRPr="00323D5D">
              <w:rPr>
                <w:color w:val="000000"/>
                <w:szCs w:val="22"/>
              </w:rPr>
              <w:t>AIS 1 – Minor</w:t>
            </w:r>
          </w:p>
        </w:tc>
        <w:tc>
          <w:tcPr>
            <w:tcW w:w="1260" w:type="pct"/>
            <w:tcBorders>
              <w:top w:val="nil"/>
              <w:left w:val="nil"/>
              <w:bottom w:val="single" w:sz="4" w:space="0" w:color="auto"/>
              <w:right w:val="single" w:sz="4" w:space="0" w:color="auto"/>
            </w:tcBorders>
            <w:shd w:val="clear" w:color="auto" w:fill="auto"/>
            <w:noWrap/>
            <w:vAlign w:val="center"/>
            <w:hideMark/>
          </w:tcPr>
          <w:p w:rsidR="00A73C96" w:rsidRPr="00323D5D" w:rsidRDefault="00A73C96" w:rsidP="006A21C2">
            <w:pPr>
              <w:spacing w:line="240" w:lineRule="auto"/>
              <w:jc w:val="center"/>
              <w:rPr>
                <w:color w:val="000000"/>
                <w:szCs w:val="22"/>
              </w:rPr>
            </w:pPr>
            <w:r w:rsidRPr="00323D5D">
              <w:rPr>
                <w:color w:val="000000"/>
                <w:szCs w:val="22"/>
              </w:rPr>
              <w:t>.003</w:t>
            </w:r>
          </w:p>
        </w:tc>
        <w:tc>
          <w:tcPr>
            <w:tcW w:w="1312" w:type="pct"/>
            <w:tcBorders>
              <w:top w:val="nil"/>
              <w:left w:val="nil"/>
              <w:bottom w:val="single" w:sz="4" w:space="0" w:color="auto"/>
              <w:right w:val="single" w:sz="4" w:space="0" w:color="auto"/>
            </w:tcBorders>
            <w:vAlign w:val="center"/>
          </w:tcPr>
          <w:p w:rsidR="00A73C96" w:rsidRPr="00323D5D" w:rsidRDefault="00186D9B" w:rsidP="006A21C2">
            <w:pPr>
              <w:jc w:val="center"/>
            </w:pPr>
            <w:r w:rsidRPr="00323D5D">
              <w:t>$0.029</w:t>
            </w:r>
          </w:p>
        </w:tc>
      </w:tr>
      <w:tr w:rsidR="00A73C96" w:rsidRPr="00323D5D" w:rsidTr="006A21C2">
        <w:trPr>
          <w:trHeight w:val="288"/>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93B4E">
            <w:pPr>
              <w:spacing w:line="240" w:lineRule="auto"/>
              <w:rPr>
                <w:color w:val="000000"/>
                <w:szCs w:val="22"/>
              </w:rPr>
            </w:pPr>
            <w:r w:rsidRPr="00323D5D">
              <w:rPr>
                <w:color w:val="000000"/>
                <w:szCs w:val="22"/>
              </w:rPr>
              <w:t>AIS 2 – Moderate</w:t>
            </w:r>
          </w:p>
        </w:tc>
        <w:tc>
          <w:tcPr>
            <w:tcW w:w="1260" w:type="pct"/>
            <w:tcBorders>
              <w:top w:val="nil"/>
              <w:left w:val="nil"/>
              <w:bottom w:val="single" w:sz="4" w:space="0" w:color="auto"/>
              <w:right w:val="single" w:sz="4" w:space="0" w:color="auto"/>
            </w:tcBorders>
            <w:shd w:val="clear" w:color="auto" w:fill="auto"/>
            <w:noWrap/>
            <w:vAlign w:val="center"/>
            <w:hideMark/>
          </w:tcPr>
          <w:p w:rsidR="00A73C96" w:rsidRPr="00323D5D" w:rsidRDefault="00A73C96" w:rsidP="006A21C2">
            <w:pPr>
              <w:spacing w:line="240" w:lineRule="auto"/>
              <w:jc w:val="center"/>
              <w:rPr>
                <w:color w:val="000000"/>
                <w:szCs w:val="22"/>
              </w:rPr>
            </w:pPr>
            <w:r w:rsidRPr="00323D5D">
              <w:rPr>
                <w:color w:val="000000"/>
                <w:szCs w:val="22"/>
              </w:rPr>
              <w:t>.0047</w:t>
            </w:r>
          </w:p>
        </w:tc>
        <w:tc>
          <w:tcPr>
            <w:tcW w:w="1312" w:type="pct"/>
            <w:tcBorders>
              <w:top w:val="nil"/>
              <w:left w:val="nil"/>
              <w:bottom w:val="single" w:sz="4" w:space="0" w:color="auto"/>
              <w:right w:val="single" w:sz="4" w:space="0" w:color="auto"/>
            </w:tcBorders>
            <w:vAlign w:val="center"/>
          </w:tcPr>
          <w:p w:rsidR="00A73C96" w:rsidRPr="00323D5D" w:rsidRDefault="00186D9B" w:rsidP="006A21C2">
            <w:pPr>
              <w:jc w:val="center"/>
            </w:pPr>
            <w:r w:rsidRPr="00323D5D">
              <w:t>$0.451</w:t>
            </w:r>
          </w:p>
        </w:tc>
      </w:tr>
      <w:tr w:rsidR="00A73C96" w:rsidRPr="00323D5D" w:rsidTr="006A21C2">
        <w:trPr>
          <w:trHeight w:val="288"/>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93B4E">
            <w:pPr>
              <w:spacing w:line="240" w:lineRule="auto"/>
              <w:rPr>
                <w:color w:val="000000"/>
                <w:szCs w:val="22"/>
              </w:rPr>
            </w:pPr>
            <w:r w:rsidRPr="00323D5D">
              <w:rPr>
                <w:color w:val="000000"/>
                <w:szCs w:val="22"/>
              </w:rPr>
              <w:t>AIS 3 – Serious</w:t>
            </w:r>
          </w:p>
        </w:tc>
        <w:tc>
          <w:tcPr>
            <w:tcW w:w="1260" w:type="pct"/>
            <w:tcBorders>
              <w:top w:val="nil"/>
              <w:left w:val="nil"/>
              <w:bottom w:val="single" w:sz="4" w:space="0" w:color="auto"/>
              <w:right w:val="single" w:sz="4" w:space="0" w:color="auto"/>
            </w:tcBorders>
            <w:shd w:val="clear" w:color="auto" w:fill="auto"/>
            <w:noWrap/>
            <w:vAlign w:val="center"/>
            <w:hideMark/>
          </w:tcPr>
          <w:p w:rsidR="00A73C96" w:rsidRPr="00323D5D" w:rsidRDefault="00A73C96" w:rsidP="006A21C2">
            <w:pPr>
              <w:spacing w:line="240" w:lineRule="auto"/>
              <w:jc w:val="center"/>
              <w:rPr>
                <w:color w:val="000000"/>
                <w:szCs w:val="22"/>
              </w:rPr>
            </w:pPr>
            <w:r w:rsidRPr="00323D5D">
              <w:rPr>
                <w:color w:val="000000"/>
                <w:szCs w:val="22"/>
              </w:rPr>
              <w:t>.105</w:t>
            </w:r>
          </w:p>
        </w:tc>
        <w:tc>
          <w:tcPr>
            <w:tcW w:w="1312" w:type="pct"/>
            <w:tcBorders>
              <w:top w:val="nil"/>
              <w:left w:val="nil"/>
              <w:bottom w:val="single" w:sz="4" w:space="0" w:color="auto"/>
              <w:right w:val="single" w:sz="4" w:space="0" w:color="auto"/>
            </w:tcBorders>
            <w:vAlign w:val="center"/>
          </w:tcPr>
          <w:p w:rsidR="00A73C96" w:rsidRPr="00323D5D" w:rsidRDefault="00A73C96" w:rsidP="006A21C2">
            <w:pPr>
              <w:jc w:val="center"/>
            </w:pPr>
            <w:r w:rsidRPr="00323D5D">
              <w:t>$1.008</w:t>
            </w:r>
          </w:p>
        </w:tc>
      </w:tr>
      <w:tr w:rsidR="00A73C96" w:rsidRPr="00323D5D" w:rsidTr="006A21C2">
        <w:trPr>
          <w:trHeight w:val="288"/>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93B4E">
            <w:pPr>
              <w:spacing w:line="240" w:lineRule="auto"/>
              <w:rPr>
                <w:color w:val="000000"/>
                <w:szCs w:val="22"/>
              </w:rPr>
            </w:pPr>
            <w:r w:rsidRPr="00323D5D">
              <w:rPr>
                <w:color w:val="000000"/>
                <w:szCs w:val="22"/>
              </w:rPr>
              <w:t>AIS 4 – Severe</w:t>
            </w:r>
          </w:p>
        </w:tc>
        <w:tc>
          <w:tcPr>
            <w:tcW w:w="1260" w:type="pct"/>
            <w:tcBorders>
              <w:top w:val="nil"/>
              <w:left w:val="nil"/>
              <w:bottom w:val="single" w:sz="4" w:space="0" w:color="auto"/>
              <w:right w:val="single" w:sz="4" w:space="0" w:color="auto"/>
            </w:tcBorders>
            <w:shd w:val="clear" w:color="auto" w:fill="auto"/>
            <w:noWrap/>
            <w:vAlign w:val="center"/>
            <w:hideMark/>
          </w:tcPr>
          <w:p w:rsidR="00A73C96" w:rsidRPr="00323D5D" w:rsidRDefault="00A73C96" w:rsidP="006A21C2">
            <w:pPr>
              <w:spacing w:line="240" w:lineRule="auto"/>
              <w:jc w:val="center"/>
              <w:rPr>
                <w:color w:val="000000"/>
                <w:szCs w:val="22"/>
              </w:rPr>
            </w:pPr>
            <w:r w:rsidRPr="00323D5D">
              <w:rPr>
                <w:color w:val="000000"/>
                <w:szCs w:val="22"/>
              </w:rPr>
              <w:t>.266</w:t>
            </w:r>
          </w:p>
        </w:tc>
        <w:tc>
          <w:tcPr>
            <w:tcW w:w="1312" w:type="pct"/>
            <w:tcBorders>
              <w:top w:val="nil"/>
              <w:left w:val="nil"/>
              <w:bottom w:val="single" w:sz="4" w:space="0" w:color="auto"/>
              <w:right w:val="single" w:sz="4" w:space="0" w:color="auto"/>
            </w:tcBorders>
            <w:vAlign w:val="center"/>
          </w:tcPr>
          <w:p w:rsidR="00A73C96" w:rsidRPr="00323D5D" w:rsidRDefault="00186D9B" w:rsidP="006A21C2">
            <w:pPr>
              <w:jc w:val="center"/>
            </w:pPr>
            <w:r w:rsidRPr="00323D5D">
              <w:t xml:space="preserve"> $2.554</w:t>
            </w:r>
          </w:p>
        </w:tc>
      </w:tr>
      <w:tr w:rsidR="00A73C96" w:rsidRPr="00323D5D" w:rsidTr="006A21C2">
        <w:trPr>
          <w:trHeight w:val="288"/>
          <w:jc w:val="center"/>
        </w:trPr>
        <w:tc>
          <w:tcPr>
            <w:tcW w:w="2428" w:type="pct"/>
            <w:tcBorders>
              <w:top w:val="nil"/>
              <w:left w:val="single" w:sz="4" w:space="0" w:color="auto"/>
              <w:bottom w:val="single" w:sz="4" w:space="0" w:color="auto"/>
              <w:right w:val="single" w:sz="4" w:space="0" w:color="auto"/>
            </w:tcBorders>
            <w:shd w:val="clear" w:color="auto" w:fill="auto"/>
            <w:noWrap/>
            <w:vAlign w:val="center"/>
            <w:hideMark/>
          </w:tcPr>
          <w:p w:rsidR="00A73C96" w:rsidRPr="00323D5D" w:rsidRDefault="00A73C96" w:rsidP="00A93B4E">
            <w:pPr>
              <w:spacing w:line="240" w:lineRule="auto"/>
              <w:rPr>
                <w:color w:val="000000"/>
                <w:szCs w:val="22"/>
              </w:rPr>
            </w:pPr>
            <w:r w:rsidRPr="00323D5D">
              <w:rPr>
                <w:color w:val="000000"/>
                <w:szCs w:val="22"/>
              </w:rPr>
              <w:t>AIS 5 – Critical</w:t>
            </w:r>
          </w:p>
        </w:tc>
        <w:tc>
          <w:tcPr>
            <w:tcW w:w="1260" w:type="pct"/>
            <w:tcBorders>
              <w:top w:val="nil"/>
              <w:left w:val="nil"/>
              <w:bottom w:val="single" w:sz="4" w:space="0" w:color="auto"/>
              <w:right w:val="single" w:sz="4" w:space="0" w:color="auto"/>
            </w:tcBorders>
            <w:shd w:val="clear" w:color="auto" w:fill="auto"/>
            <w:noWrap/>
            <w:vAlign w:val="center"/>
            <w:hideMark/>
          </w:tcPr>
          <w:p w:rsidR="00A73C96" w:rsidRPr="00323D5D" w:rsidRDefault="00A73C96" w:rsidP="006A21C2">
            <w:pPr>
              <w:spacing w:line="240" w:lineRule="auto"/>
              <w:jc w:val="center"/>
              <w:rPr>
                <w:color w:val="000000"/>
                <w:szCs w:val="22"/>
              </w:rPr>
            </w:pPr>
            <w:r w:rsidRPr="00323D5D">
              <w:rPr>
                <w:color w:val="000000"/>
                <w:szCs w:val="22"/>
              </w:rPr>
              <w:t>.593</w:t>
            </w:r>
          </w:p>
        </w:tc>
        <w:tc>
          <w:tcPr>
            <w:tcW w:w="1312" w:type="pct"/>
            <w:tcBorders>
              <w:top w:val="nil"/>
              <w:left w:val="nil"/>
              <w:bottom w:val="single" w:sz="4" w:space="0" w:color="auto"/>
              <w:right w:val="single" w:sz="4" w:space="0" w:color="auto"/>
            </w:tcBorders>
            <w:vAlign w:val="center"/>
          </w:tcPr>
          <w:p w:rsidR="00A73C96" w:rsidRPr="00323D5D" w:rsidRDefault="00186D9B" w:rsidP="006A21C2">
            <w:pPr>
              <w:jc w:val="center"/>
            </w:pPr>
            <w:r w:rsidRPr="00323D5D">
              <w:t xml:space="preserve"> $5.693</w:t>
            </w:r>
          </w:p>
        </w:tc>
      </w:tr>
    </w:tbl>
    <w:p w:rsidR="00A73C96" w:rsidRPr="00323D5D" w:rsidRDefault="00A73C96" w:rsidP="0029208D">
      <w:pPr>
        <w:pStyle w:val="BodyText"/>
        <w:jc w:val="left"/>
        <w:rPr>
          <w:sz w:val="16"/>
          <w:szCs w:val="16"/>
        </w:rPr>
      </w:pPr>
      <w:r w:rsidRPr="00323D5D">
        <w:rPr>
          <w:sz w:val="16"/>
          <w:szCs w:val="16"/>
        </w:rPr>
        <w:t>Source: Department of Transportation (2015)</w:t>
      </w:r>
    </w:p>
    <w:p w:rsidR="00420FF0" w:rsidRPr="00323D5D" w:rsidRDefault="00023173" w:rsidP="00002F3B">
      <w:pPr>
        <w:pStyle w:val="Heading3"/>
        <w:rPr>
          <w:rFonts w:ascii="Times New Roman" w:hAnsi="Times New Roman" w:cs="Times New Roman"/>
        </w:rPr>
      </w:pPr>
      <w:bookmarkStart w:id="130" w:name="_Toc448780326"/>
      <w:r>
        <w:rPr>
          <w:rFonts w:ascii="Times New Roman" w:hAnsi="Times New Roman" w:cs="Times New Roman"/>
        </w:rPr>
        <w:t xml:space="preserve">Assumptions – </w:t>
      </w:r>
      <w:r w:rsidR="00D4015C" w:rsidRPr="00323D5D">
        <w:rPr>
          <w:rFonts w:ascii="Times New Roman" w:hAnsi="Times New Roman" w:cs="Times New Roman"/>
        </w:rPr>
        <w:t>Emissions</w:t>
      </w:r>
      <w:bookmarkEnd w:id="130"/>
      <w:r w:rsidR="00D4015C" w:rsidRPr="00323D5D">
        <w:rPr>
          <w:rFonts w:ascii="Times New Roman" w:hAnsi="Times New Roman" w:cs="Times New Roman"/>
        </w:rPr>
        <w:t xml:space="preserve"> </w:t>
      </w:r>
    </w:p>
    <w:p w:rsidR="00D4015C" w:rsidRPr="00323D5D" w:rsidRDefault="009526E8" w:rsidP="00D4015C">
      <w:pPr>
        <w:pStyle w:val="BodyText"/>
      </w:pPr>
      <w:r w:rsidRPr="00323D5D">
        <w:t xml:space="preserve">A reduction in VMT along the assessment corridor will create environmental and sustainability impacts relating to automobile, commercial truck and bus travel.  </w:t>
      </w:r>
      <w:r w:rsidR="00FC2DCA">
        <w:t xml:space="preserve">Five </w:t>
      </w:r>
      <w:r w:rsidRPr="00323D5D">
        <w:t xml:space="preserve">types of emissions are identified, measured and monetized: volatile organic compounds (VOC), particulate matter (PM2.5 and PM10), carbon monoxide (CO), </w:t>
      </w:r>
      <w:r w:rsidR="0060059E" w:rsidRPr="00323D5D">
        <w:t>carbon dioxide (CO</w:t>
      </w:r>
      <w:r w:rsidR="0060059E" w:rsidRPr="00323D5D">
        <w:rPr>
          <w:vertAlign w:val="subscript"/>
        </w:rPr>
        <w:t>2</w:t>
      </w:r>
      <w:r w:rsidR="0060059E" w:rsidRPr="00323D5D">
        <w:t>) and</w:t>
      </w:r>
      <w:r w:rsidRPr="00323D5D">
        <w:t xml:space="preserve"> nitrogen oxide (NOx).  </w:t>
      </w:r>
    </w:p>
    <w:p w:rsidR="00ED5472" w:rsidRPr="00323D5D" w:rsidRDefault="00ED5472" w:rsidP="00002F3B">
      <w:pPr>
        <w:pStyle w:val="Heading4"/>
        <w:rPr>
          <w:rFonts w:ascii="Times New Roman" w:hAnsi="Times New Roman"/>
        </w:rPr>
      </w:pPr>
      <w:bookmarkStart w:id="131" w:name="_Toc448780327"/>
      <w:r w:rsidRPr="00323D5D">
        <w:rPr>
          <w:rFonts w:ascii="Times New Roman" w:hAnsi="Times New Roman"/>
        </w:rPr>
        <w:lastRenderedPageBreak/>
        <w:t>Emissions Quantification</w:t>
      </w:r>
      <w:bookmarkEnd w:id="131"/>
    </w:p>
    <w:p w:rsidR="00C424AB" w:rsidRPr="00323D5D" w:rsidRDefault="00C424AB" w:rsidP="00C424AB">
      <w:pPr>
        <w:pStyle w:val="BodyText"/>
      </w:pPr>
      <w:r w:rsidRPr="00323D5D">
        <w:t>Emission rates differ between vehicle types and depending on fuel efficiency, average speed and driving conditions. This analysis uses emissions factors from the Environmental Protection Agency (EPA) and Federal Transit Administration (FTA), which provides emissions factors for automobiles, commercial trucks and buses</w:t>
      </w:r>
      <w:r w:rsidRPr="00323D5D">
        <w:rPr>
          <w:rStyle w:val="FootnoteReference"/>
        </w:rPr>
        <w:footnoteReference w:id="10"/>
      </w:r>
      <w:r w:rsidRPr="00323D5D">
        <w:rPr>
          <w:rStyle w:val="FootnoteReference"/>
        </w:rPr>
        <w:footnoteReference w:id="11"/>
      </w:r>
      <w:r w:rsidRPr="00323D5D">
        <w:t xml:space="preserve">.  </w:t>
      </w:r>
    </w:p>
    <w:p w:rsidR="00C424AB" w:rsidRPr="00323D5D" w:rsidRDefault="00C424AB" w:rsidP="00D4015C">
      <w:pPr>
        <w:pStyle w:val="BodyText"/>
      </w:pPr>
      <w:r w:rsidRPr="00323D5D">
        <w:t>This analysis uses two different approaches to quantify emissions generated under the build scenario utilizing both VMT and VHT. Mode shift from personal vehicles to HOV</w:t>
      </w:r>
      <w:r w:rsidR="004929C1">
        <w:t>3+</w:t>
      </w:r>
      <w:r w:rsidR="00FC2DCA">
        <w:t xml:space="preserve"> (carpooling)</w:t>
      </w:r>
      <w:r w:rsidRPr="00323D5D">
        <w:t xml:space="preserve"> or express bus services will generate a decrease in VMT.  More efficient travel times by commercial trucks and personal vehicles due to the advent of managed lanes will generate a reduction in VHT. </w:t>
      </w:r>
      <w:r w:rsidR="00FC2DCA">
        <w:t>Accordingly, e</w:t>
      </w:r>
      <w:r w:rsidRPr="00323D5D">
        <w:t xml:space="preserve">missions </w:t>
      </w:r>
      <w:r w:rsidR="00E7271F" w:rsidRPr="00323D5D">
        <w:t>reduction as a result of the build scenario has</w:t>
      </w:r>
      <w:r w:rsidRPr="00323D5D">
        <w:t xml:space="preserve"> been estimate</w:t>
      </w:r>
      <w:r w:rsidR="00FC2DCA">
        <w:t>d</w:t>
      </w:r>
      <w:r w:rsidRPr="00323D5D">
        <w:t xml:space="preserve"> using both VMT and VHT.   </w:t>
      </w:r>
    </w:p>
    <w:p w:rsidR="0060059E" w:rsidRPr="00323D5D" w:rsidRDefault="0060059E" w:rsidP="00D4015C">
      <w:pPr>
        <w:pStyle w:val="BodyText"/>
      </w:pPr>
      <w:r w:rsidRPr="00323D5D">
        <w:t xml:space="preserve">Emission factors for automobiles </w:t>
      </w:r>
      <w:r w:rsidR="00A02B7E" w:rsidRPr="00323D5D">
        <w:t xml:space="preserve">and buses </w:t>
      </w:r>
      <w:r w:rsidR="009B78DD" w:rsidRPr="00323D5D">
        <w:t>utilize the EPA</w:t>
      </w:r>
      <w:r w:rsidR="00C424AB" w:rsidRPr="00323D5D">
        <w:t xml:space="preserve"> guidance</w:t>
      </w:r>
      <w:r w:rsidR="009B78DD" w:rsidRPr="00323D5D">
        <w:t xml:space="preserve"> </w:t>
      </w:r>
      <w:r w:rsidR="00CD2EA8" w:rsidRPr="00323D5D">
        <w:t xml:space="preserve">which assumes that emissions will decrease on a per VMT basis over time due to better fuel efficiency and engineering design.   An overview of the assumed emission factors for automobiles for this analysis is shown in Table </w:t>
      </w:r>
      <w:r w:rsidR="00FC2DCA">
        <w:t>1</w:t>
      </w:r>
      <w:r w:rsidR="00F3566B">
        <w:t>1</w:t>
      </w:r>
      <w:r w:rsidR="00FC2DCA" w:rsidRPr="00323D5D">
        <w:t xml:space="preserve"> </w:t>
      </w:r>
      <w:r w:rsidR="00A02B7E" w:rsidRPr="00323D5D">
        <w:t xml:space="preserve">and for buses in Table </w:t>
      </w:r>
      <w:r w:rsidR="00FC2DCA">
        <w:t>1</w:t>
      </w:r>
      <w:r w:rsidR="00F3566B">
        <w:t>2</w:t>
      </w:r>
      <w:r w:rsidR="00A02B7E" w:rsidRPr="00323D5D">
        <w:t>.</w:t>
      </w:r>
    </w:p>
    <w:p w:rsidR="00CD2EA8" w:rsidRPr="00323D5D" w:rsidRDefault="00CD2EA8" w:rsidP="0029208D">
      <w:pPr>
        <w:pStyle w:val="BodyText"/>
        <w:spacing w:after="0"/>
        <w:jc w:val="center"/>
        <w:rPr>
          <w:b/>
          <w:sz w:val="18"/>
          <w:szCs w:val="18"/>
        </w:rPr>
      </w:pPr>
      <w:r w:rsidRPr="00323D5D">
        <w:rPr>
          <w:b/>
          <w:sz w:val="18"/>
          <w:szCs w:val="18"/>
        </w:rPr>
        <w:t xml:space="preserve">Table </w:t>
      </w:r>
      <w:r w:rsidR="00FC2DCA">
        <w:rPr>
          <w:b/>
          <w:sz w:val="18"/>
          <w:szCs w:val="18"/>
        </w:rPr>
        <w:t>1</w:t>
      </w:r>
      <w:r w:rsidR="00F3566B">
        <w:rPr>
          <w:b/>
          <w:sz w:val="18"/>
          <w:szCs w:val="18"/>
        </w:rPr>
        <w:t>1</w:t>
      </w:r>
      <w:r w:rsidRPr="00323D5D">
        <w:rPr>
          <w:b/>
          <w:sz w:val="18"/>
          <w:szCs w:val="18"/>
        </w:rPr>
        <w:t>: Emission Factors (g/VMT) for Automobiles</w:t>
      </w:r>
    </w:p>
    <w:tbl>
      <w:tblPr>
        <w:tblW w:w="5000" w:type="pct"/>
        <w:tblLook w:val="04A0" w:firstRow="1" w:lastRow="0" w:firstColumn="1" w:lastColumn="0" w:noHBand="0" w:noVBand="1"/>
      </w:tblPr>
      <w:tblGrid>
        <w:gridCol w:w="765"/>
        <w:gridCol w:w="1647"/>
        <w:gridCol w:w="1429"/>
        <w:gridCol w:w="1448"/>
        <w:gridCol w:w="1429"/>
        <w:gridCol w:w="1429"/>
        <w:gridCol w:w="1429"/>
      </w:tblGrid>
      <w:tr w:rsidR="0060059E" w:rsidRPr="00323D5D" w:rsidTr="0029208D">
        <w:trPr>
          <w:trHeight w:val="300"/>
        </w:trPr>
        <w:tc>
          <w:tcPr>
            <w:tcW w:w="40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rPr>
                <w:color w:val="000000"/>
                <w:szCs w:val="22"/>
              </w:rPr>
            </w:pPr>
            <w:r w:rsidRPr="00323D5D">
              <w:rPr>
                <w:color w:val="000000"/>
                <w:szCs w:val="22"/>
              </w:rPr>
              <w:t> </w:t>
            </w:r>
          </w:p>
        </w:tc>
        <w:tc>
          <w:tcPr>
            <w:tcW w:w="860"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CO</w:t>
            </w:r>
          </w:p>
        </w:tc>
        <w:tc>
          <w:tcPr>
            <w:tcW w:w="746"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NOX</w:t>
            </w:r>
          </w:p>
        </w:tc>
        <w:tc>
          <w:tcPr>
            <w:tcW w:w="756"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PM2.5</w:t>
            </w:r>
          </w:p>
        </w:tc>
        <w:tc>
          <w:tcPr>
            <w:tcW w:w="746"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PM10</w:t>
            </w:r>
          </w:p>
        </w:tc>
        <w:tc>
          <w:tcPr>
            <w:tcW w:w="746"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VOC</w:t>
            </w:r>
          </w:p>
        </w:tc>
        <w:tc>
          <w:tcPr>
            <w:tcW w:w="746" w:type="pct"/>
            <w:tcBorders>
              <w:top w:val="single" w:sz="8" w:space="0" w:color="auto"/>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center"/>
              <w:rPr>
                <w:b/>
                <w:bCs/>
                <w:color w:val="000000"/>
                <w:szCs w:val="22"/>
              </w:rPr>
            </w:pPr>
            <w:r w:rsidRPr="00323D5D">
              <w:rPr>
                <w:b/>
                <w:bCs/>
                <w:color w:val="000000"/>
                <w:szCs w:val="22"/>
              </w:rPr>
              <w:t>CO2</w:t>
            </w:r>
            <w:r w:rsidR="00A02B7E" w:rsidRPr="00323D5D">
              <w:rPr>
                <w:b/>
                <w:bCs/>
                <w:color w:val="000000"/>
                <w:szCs w:val="22"/>
              </w:rPr>
              <w:t>*</w:t>
            </w:r>
          </w:p>
        </w:tc>
      </w:tr>
      <w:tr w:rsidR="0060059E" w:rsidRPr="00323D5D" w:rsidTr="0029208D">
        <w:trPr>
          <w:trHeight w:val="300"/>
        </w:trPr>
        <w:tc>
          <w:tcPr>
            <w:tcW w:w="400" w:type="pct"/>
            <w:tcBorders>
              <w:top w:val="nil"/>
              <w:left w:val="single" w:sz="8" w:space="0" w:color="auto"/>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rPr>
                <w:color w:val="000000"/>
                <w:szCs w:val="22"/>
              </w:rPr>
            </w:pPr>
            <w:r w:rsidRPr="00323D5D">
              <w:rPr>
                <w:color w:val="000000"/>
                <w:szCs w:val="22"/>
              </w:rPr>
              <w:t>2015</w:t>
            </w:r>
          </w:p>
        </w:tc>
        <w:tc>
          <w:tcPr>
            <w:tcW w:w="860"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16.77</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0.91</w:t>
            </w:r>
          </w:p>
        </w:tc>
        <w:tc>
          <w:tcPr>
            <w:tcW w:w="75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0.01</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0.16</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0.6</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532</w:t>
            </w:r>
          </w:p>
        </w:tc>
      </w:tr>
      <w:tr w:rsidR="0060059E" w:rsidRPr="00323D5D" w:rsidTr="0029208D">
        <w:trPr>
          <w:trHeight w:val="300"/>
        </w:trPr>
        <w:tc>
          <w:tcPr>
            <w:tcW w:w="400" w:type="pct"/>
            <w:tcBorders>
              <w:top w:val="nil"/>
              <w:left w:val="single" w:sz="8" w:space="0" w:color="auto"/>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rPr>
                <w:color w:val="000000"/>
                <w:szCs w:val="22"/>
              </w:rPr>
            </w:pPr>
            <w:r w:rsidRPr="00323D5D">
              <w:rPr>
                <w:color w:val="000000"/>
                <w:szCs w:val="22"/>
              </w:rPr>
              <w:t>2025</w:t>
            </w:r>
          </w:p>
        </w:tc>
        <w:tc>
          <w:tcPr>
            <w:tcW w:w="860"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11.46</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0.28</w:t>
            </w:r>
          </w:p>
        </w:tc>
        <w:tc>
          <w:tcPr>
            <w:tcW w:w="75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0.01</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0.1</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0.27</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434</w:t>
            </w:r>
          </w:p>
        </w:tc>
      </w:tr>
      <w:tr w:rsidR="0060059E" w:rsidRPr="00323D5D" w:rsidTr="0029208D">
        <w:trPr>
          <w:trHeight w:val="300"/>
        </w:trPr>
        <w:tc>
          <w:tcPr>
            <w:tcW w:w="400" w:type="pct"/>
            <w:tcBorders>
              <w:top w:val="nil"/>
              <w:left w:val="single" w:sz="8" w:space="0" w:color="auto"/>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rPr>
                <w:color w:val="000000"/>
                <w:szCs w:val="22"/>
              </w:rPr>
            </w:pPr>
            <w:r w:rsidRPr="00323D5D">
              <w:rPr>
                <w:color w:val="000000"/>
                <w:szCs w:val="22"/>
              </w:rPr>
              <w:t>2035</w:t>
            </w:r>
          </w:p>
        </w:tc>
        <w:tc>
          <w:tcPr>
            <w:tcW w:w="860"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10.26</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0.2</w:t>
            </w:r>
          </w:p>
        </w:tc>
        <w:tc>
          <w:tcPr>
            <w:tcW w:w="75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0.01</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0.05</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0.21</w:t>
            </w:r>
          </w:p>
        </w:tc>
        <w:tc>
          <w:tcPr>
            <w:tcW w:w="746" w:type="pct"/>
            <w:tcBorders>
              <w:top w:val="nil"/>
              <w:left w:val="nil"/>
              <w:bottom w:val="single" w:sz="8" w:space="0" w:color="auto"/>
              <w:right w:val="single" w:sz="8" w:space="0" w:color="auto"/>
            </w:tcBorders>
            <w:shd w:val="clear" w:color="auto" w:fill="auto"/>
            <w:noWrap/>
            <w:vAlign w:val="bottom"/>
            <w:hideMark/>
          </w:tcPr>
          <w:p w:rsidR="0060059E" w:rsidRPr="00323D5D" w:rsidRDefault="0060059E" w:rsidP="0060059E">
            <w:pPr>
              <w:spacing w:line="240" w:lineRule="auto"/>
              <w:jc w:val="right"/>
              <w:rPr>
                <w:color w:val="000000"/>
                <w:szCs w:val="22"/>
              </w:rPr>
            </w:pPr>
            <w:r w:rsidRPr="00323D5D">
              <w:rPr>
                <w:color w:val="000000"/>
                <w:szCs w:val="22"/>
              </w:rPr>
              <w:t>397</w:t>
            </w:r>
          </w:p>
        </w:tc>
      </w:tr>
    </w:tbl>
    <w:p w:rsidR="00A02B7E" w:rsidRPr="00323D5D" w:rsidRDefault="00A02B7E" w:rsidP="00A02B7E">
      <w:pPr>
        <w:pStyle w:val="BodyText"/>
        <w:spacing w:after="0"/>
        <w:rPr>
          <w:sz w:val="16"/>
          <w:szCs w:val="16"/>
        </w:rPr>
      </w:pPr>
      <w:r w:rsidRPr="00323D5D">
        <w:rPr>
          <w:sz w:val="16"/>
          <w:szCs w:val="16"/>
        </w:rPr>
        <w:t>*CO2 in metric tons</w:t>
      </w:r>
    </w:p>
    <w:p w:rsidR="0060059E" w:rsidRPr="00323D5D" w:rsidRDefault="00CD2EA8" w:rsidP="00A02B7E">
      <w:pPr>
        <w:pStyle w:val="BodyText"/>
        <w:spacing w:after="0"/>
        <w:rPr>
          <w:sz w:val="16"/>
          <w:szCs w:val="16"/>
        </w:rPr>
      </w:pPr>
      <w:r w:rsidRPr="00323D5D">
        <w:rPr>
          <w:sz w:val="16"/>
          <w:szCs w:val="16"/>
        </w:rPr>
        <w:t>Source:  Department of Transportation (201</w:t>
      </w:r>
      <w:r w:rsidR="00CC311F" w:rsidRPr="00323D5D">
        <w:rPr>
          <w:sz w:val="16"/>
          <w:szCs w:val="16"/>
        </w:rPr>
        <w:t>3</w:t>
      </w:r>
      <w:r w:rsidRPr="00323D5D">
        <w:rPr>
          <w:sz w:val="16"/>
          <w:szCs w:val="16"/>
        </w:rPr>
        <w:t>)</w:t>
      </w:r>
    </w:p>
    <w:p w:rsidR="00C424AB" w:rsidRPr="00323D5D" w:rsidRDefault="00C424AB" w:rsidP="00862647">
      <w:pPr>
        <w:pStyle w:val="BodyText"/>
        <w:spacing w:after="0"/>
        <w:rPr>
          <w:b/>
          <w:sz w:val="18"/>
          <w:szCs w:val="18"/>
        </w:rPr>
      </w:pPr>
    </w:p>
    <w:p w:rsidR="00A02B7E" w:rsidRPr="00323D5D" w:rsidRDefault="00A02B7E" w:rsidP="0029208D">
      <w:pPr>
        <w:pStyle w:val="BodyText"/>
        <w:spacing w:after="0"/>
        <w:jc w:val="center"/>
        <w:rPr>
          <w:b/>
          <w:sz w:val="18"/>
          <w:szCs w:val="18"/>
        </w:rPr>
      </w:pPr>
      <w:r w:rsidRPr="00323D5D">
        <w:rPr>
          <w:b/>
          <w:sz w:val="18"/>
          <w:szCs w:val="18"/>
        </w:rPr>
        <w:t xml:space="preserve">Table </w:t>
      </w:r>
      <w:r w:rsidR="00FC2DCA">
        <w:rPr>
          <w:b/>
          <w:sz w:val="18"/>
          <w:szCs w:val="18"/>
        </w:rPr>
        <w:t>1</w:t>
      </w:r>
      <w:r w:rsidR="00F3566B">
        <w:rPr>
          <w:b/>
          <w:sz w:val="18"/>
          <w:szCs w:val="18"/>
        </w:rPr>
        <w:t>2</w:t>
      </w:r>
      <w:r w:rsidRPr="00323D5D">
        <w:rPr>
          <w:b/>
          <w:sz w:val="18"/>
          <w:szCs w:val="18"/>
        </w:rPr>
        <w:t>: Emission Factors (g/VMT) for Buses</w:t>
      </w:r>
    </w:p>
    <w:tbl>
      <w:tblPr>
        <w:tblW w:w="5000" w:type="pct"/>
        <w:tblLook w:val="04A0" w:firstRow="1" w:lastRow="0" w:firstColumn="1" w:lastColumn="0" w:noHBand="0" w:noVBand="1"/>
      </w:tblPr>
      <w:tblGrid>
        <w:gridCol w:w="765"/>
        <w:gridCol w:w="1647"/>
        <w:gridCol w:w="1429"/>
        <w:gridCol w:w="1448"/>
        <w:gridCol w:w="1429"/>
        <w:gridCol w:w="1429"/>
        <w:gridCol w:w="1429"/>
      </w:tblGrid>
      <w:tr w:rsidR="00A02B7E" w:rsidRPr="00323D5D" w:rsidTr="0029208D">
        <w:trPr>
          <w:trHeight w:val="288"/>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rPr>
                <w:b/>
                <w:bCs/>
                <w:color w:val="000000"/>
                <w:sz w:val="20"/>
              </w:rPr>
            </w:pPr>
            <w:r w:rsidRPr="00323D5D">
              <w:rPr>
                <w:b/>
                <w:bCs/>
                <w:color w:val="000000"/>
                <w:sz w:val="20"/>
              </w:rPr>
              <w:t> </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CO</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NOX</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PM2.5</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PM10**</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VOC</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center"/>
              <w:rPr>
                <w:b/>
                <w:bCs/>
                <w:color w:val="000000"/>
                <w:szCs w:val="22"/>
              </w:rPr>
            </w:pPr>
            <w:r w:rsidRPr="00323D5D">
              <w:rPr>
                <w:b/>
                <w:bCs/>
                <w:color w:val="000000"/>
                <w:szCs w:val="22"/>
              </w:rPr>
              <w:t>CO2*</w:t>
            </w:r>
          </w:p>
        </w:tc>
      </w:tr>
      <w:tr w:rsidR="00A02B7E" w:rsidRPr="00323D5D" w:rsidTr="0029208D">
        <w:trPr>
          <w:trHeight w:val="288"/>
        </w:trPr>
        <w:tc>
          <w:tcPr>
            <w:tcW w:w="400" w:type="pct"/>
            <w:tcBorders>
              <w:top w:val="nil"/>
              <w:left w:val="single" w:sz="4" w:space="0" w:color="auto"/>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2015</w:t>
            </w:r>
          </w:p>
        </w:tc>
        <w:tc>
          <w:tcPr>
            <w:tcW w:w="860"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5.83</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8.67</w:t>
            </w:r>
          </w:p>
        </w:tc>
        <w:tc>
          <w:tcPr>
            <w:tcW w:w="75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0.48</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0.297</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0.73</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2655</w:t>
            </w:r>
          </w:p>
        </w:tc>
      </w:tr>
      <w:tr w:rsidR="00A02B7E" w:rsidRPr="00323D5D" w:rsidTr="0029208D">
        <w:trPr>
          <w:trHeight w:val="288"/>
        </w:trPr>
        <w:tc>
          <w:tcPr>
            <w:tcW w:w="400" w:type="pct"/>
            <w:tcBorders>
              <w:top w:val="nil"/>
              <w:left w:val="single" w:sz="4" w:space="0" w:color="auto"/>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2025</w:t>
            </w:r>
          </w:p>
        </w:tc>
        <w:tc>
          <w:tcPr>
            <w:tcW w:w="860"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3.26</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2.08</w:t>
            </w:r>
          </w:p>
        </w:tc>
        <w:tc>
          <w:tcPr>
            <w:tcW w:w="75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0.09</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0.297</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0.24</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2283</w:t>
            </w:r>
          </w:p>
        </w:tc>
      </w:tr>
      <w:tr w:rsidR="00A02B7E" w:rsidRPr="00323D5D" w:rsidTr="0029208D">
        <w:trPr>
          <w:trHeight w:val="288"/>
        </w:trPr>
        <w:tc>
          <w:tcPr>
            <w:tcW w:w="400" w:type="pct"/>
            <w:tcBorders>
              <w:top w:val="nil"/>
              <w:left w:val="single" w:sz="4" w:space="0" w:color="auto"/>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 w:val="20"/>
              </w:rPr>
            </w:pPr>
            <w:r w:rsidRPr="00323D5D">
              <w:rPr>
                <w:color w:val="000000"/>
                <w:sz w:val="20"/>
              </w:rPr>
              <w:t>2035</w:t>
            </w:r>
          </w:p>
        </w:tc>
        <w:tc>
          <w:tcPr>
            <w:tcW w:w="860"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2.89</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color w:val="000000"/>
                <w:szCs w:val="22"/>
              </w:rPr>
            </w:pPr>
            <w:r w:rsidRPr="00323D5D">
              <w:rPr>
                <w:color w:val="000000"/>
                <w:szCs w:val="22"/>
              </w:rPr>
              <w:t>1.14</w:t>
            </w:r>
          </w:p>
        </w:tc>
        <w:tc>
          <w:tcPr>
            <w:tcW w:w="75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0.03</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0.297</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0.16</w:t>
            </w:r>
          </w:p>
        </w:tc>
        <w:tc>
          <w:tcPr>
            <w:tcW w:w="746" w:type="pct"/>
            <w:tcBorders>
              <w:top w:val="nil"/>
              <w:left w:val="nil"/>
              <w:bottom w:val="single" w:sz="4" w:space="0" w:color="auto"/>
              <w:right w:val="single" w:sz="4" w:space="0" w:color="auto"/>
            </w:tcBorders>
            <w:shd w:val="clear" w:color="auto" w:fill="auto"/>
            <w:noWrap/>
            <w:vAlign w:val="bottom"/>
            <w:hideMark/>
          </w:tcPr>
          <w:p w:rsidR="00A02B7E" w:rsidRPr="00323D5D" w:rsidRDefault="00A02B7E" w:rsidP="00A02B7E">
            <w:pPr>
              <w:spacing w:line="240" w:lineRule="auto"/>
              <w:jc w:val="right"/>
              <w:rPr>
                <w:szCs w:val="22"/>
              </w:rPr>
            </w:pPr>
            <w:r w:rsidRPr="00323D5D">
              <w:rPr>
                <w:szCs w:val="22"/>
              </w:rPr>
              <w:t>2177</w:t>
            </w:r>
          </w:p>
        </w:tc>
      </w:tr>
    </w:tbl>
    <w:p w:rsidR="00A02B7E" w:rsidRPr="00323D5D" w:rsidRDefault="00A02B7E" w:rsidP="00A02B7E">
      <w:pPr>
        <w:pStyle w:val="BodyText"/>
        <w:spacing w:after="0"/>
        <w:rPr>
          <w:sz w:val="16"/>
          <w:szCs w:val="16"/>
        </w:rPr>
      </w:pPr>
      <w:r w:rsidRPr="00323D5D">
        <w:rPr>
          <w:sz w:val="16"/>
          <w:szCs w:val="16"/>
        </w:rPr>
        <w:t>*CO2 in metric tons</w:t>
      </w:r>
    </w:p>
    <w:p w:rsidR="00A02B7E" w:rsidRPr="00323D5D" w:rsidRDefault="00A02B7E" w:rsidP="00A02B7E">
      <w:pPr>
        <w:pStyle w:val="BodyText"/>
        <w:spacing w:after="0"/>
        <w:rPr>
          <w:sz w:val="16"/>
          <w:szCs w:val="16"/>
        </w:rPr>
      </w:pPr>
      <w:r w:rsidRPr="00323D5D">
        <w:rPr>
          <w:sz w:val="16"/>
          <w:szCs w:val="16"/>
        </w:rPr>
        <w:t>** Assumes no change</w:t>
      </w:r>
    </w:p>
    <w:p w:rsidR="00A02B7E" w:rsidRPr="00323D5D" w:rsidRDefault="00A02B7E" w:rsidP="00A02B7E">
      <w:pPr>
        <w:pStyle w:val="BodyText"/>
        <w:spacing w:after="0"/>
        <w:rPr>
          <w:sz w:val="16"/>
          <w:szCs w:val="16"/>
        </w:rPr>
      </w:pPr>
      <w:r w:rsidRPr="00323D5D">
        <w:rPr>
          <w:sz w:val="16"/>
          <w:szCs w:val="16"/>
        </w:rPr>
        <w:t>Source:  Department of Transportation (201</w:t>
      </w:r>
      <w:r w:rsidR="00CC311F" w:rsidRPr="00323D5D">
        <w:rPr>
          <w:sz w:val="16"/>
          <w:szCs w:val="16"/>
        </w:rPr>
        <w:t>3</w:t>
      </w:r>
      <w:r w:rsidRPr="00323D5D">
        <w:rPr>
          <w:sz w:val="16"/>
          <w:szCs w:val="16"/>
        </w:rPr>
        <w:t>)</w:t>
      </w:r>
    </w:p>
    <w:p w:rsidR="00023173" w:rsidRDefault="00023173" w:rsidP="006A21C2">
      <w:pPr>
        <w:pStyle w:val="BodyText"/>
        <w:spacing w:after="120" w:line="240" w:lineRule="auto"/>
      </w:pPr>
    </w:p>
    <w:p w:rsidR="009B78DD" w:rsidRDefault="009B78DD" w:rsidP="006A21C2">
      <w:pPr>
        <w:pStyle w:val="BodyText"/>
        <w:spacing w:after="120"/>
      </w:pPr>
      <w:r w:rsidRPr="00323D5D">
        <w:t xml:space="preserve">Commercial truck emissions have been estimated not on a VMT basis, but rather on </w:t>
      </w:r>
      <w:r w:rsidR="00616A49" w:rsidRPr="00323D5D">
        <w:t xml:space="preserve">forecast reductions in </w:t>
      </w:r>
      <w:r w:rsidR="00B54404" w:rsidRPr="00323D5D">
        <w:t>VHT, which produces more conservative estimations</w:t>
      </w:r>
      <w:r w:rsidR="00616A49" w:rsidRPr="00323D5D">
        <w:t xml:space="preserve"> given it is based on emissions rates while idling</w:t>
      </w:r>
      <w:r w:rsidR="00B54404" w:rsidRPr="00323D5D">
        <w:t>.</w:t>
      </w:r>
      <w:r w:rsidRPr="00323D5D">
        <w:t xml:space="preserve">  An even split</w:t>
      </w:r>
      <w:r w:rsidR="00D77C36" w:rsidRPr="00323D5D">
        <w:t xml:space="preserve"> between Classes 8a and 8b </w:t>
      </w:r>
      <w:r w:rsidR="00E7271F" w:rsidRPr="00323D5D">
        <w:t>heavy</w:t>
      </w:r>
      <w:r w:rsidR="00D77C36" w:rsidRPr="00323D5D">
        <w:t>-</w:t>
      </w:r>
      <w:r w:rsidRPr="00323D5D">
        <w:t xml:space="preserve">duty diesel trucks has been assumed for this analysis. An overview of emissions rates for commercial trucks is shown in Table </w:t>
      </w:r>
      <w:r w:rsidR="00FC2DCA">
        <w:t>1</w:t>
      </w:r>
      <w:r w:rsidR="00F3566B">
        <w:t>3</w:t>
      </w:r>
      <w:r w:rsidRPr="00323D5D">
        <w:t>.</w:t>
      </w:r>
      <w:r w:rsidR="00ED5472" w:rsidRPr="00323D5D">
        <w:t xml:space="preserve"> </w:t>
      </w:r>
    </w:p>
    <w:p w:rsidR="00160EDE" w:rsidRDefault="00160EDE" w:rsidP="006A21C2">
      <w:pPr>
        <w:pStyle w:val="BodyText"/>
        <w:spacing w:after="120"/>
      </w:pPr>
    </w:p>
    <w:p w:rsidR="00160EDE" w:rsidRDefault="00160EDE" w:rsidP="006A21C2">
      <w:pPr>
        <w:pStyle w:val="BodyText"/>
        <w:spacing w:after="120"/>
      </w:pPr>
    </w:p>
    <w:p w:rsidR="00160EDE" w:rsidRDefault="00160EDE" w:rsidP="006A21C2">
      <w:pPr>
        <w:pStyle w:val="BodyText"/>
        <w:spacing w:after="120"/>
      </w:pPr>
    </w:p>
    <w:p w:rsidR="00160EDE" w:rsidRDefault="00160EDE" w:rsidP="006A21C2">
      <w:pPr>
        <w:pStyle w:val="BodyText"/>
        <w:spacing w:after="120"/>
      </w:pPr>
    </w:p>
    <w:p w:rsidR="009B78DD" w:rsidRPr="00323D5D" w:rsidRDefault="009B78DD" w:rsidP="006A21C2">
      <w:pPr>
        <w:pStyle w:val="BodyText"/>
        <w:spacing w:after="0"/>
        <w:jc w:val="center"/>
        <w:rPr>
          <w:b/>
          <w:sz w:val="18"/>
          <w:szCs w:val="18"/>
        </w:rPr>
      </w:pPr>
      <w:r w:rsidRPr="00323D5D">
        <w:rPr>
          <w:b/>
          <w:sz w:val="18"/>
          <w:szCs w:val="18"/>
        </w:rPr>
        <w:lastRenderedPageBreak/>
        <w:t xml:space="preserve">Table </w:t>
      </w:r>
      <w:r w:rsidR="00FC2DCA">
        <w:rPr>
          <w:b/>
          <w:sz w:val="18"/>
          <w:szCs w:val="18"/>
        </w:rPr>
        <w:t>1</w:t>
      </w:r>
      <w:r w:rsidR="00F3566B">
        <w:rPr>
          <w:b/>
          <w:sz w:val="18"/>
          <w:szCs w:val="18"/>
        </w:rPr>
        <w:t>3</w:t>
      </w:r>
      <w:r w:rsidRPr="00323D5D">
        <w:rPr>
          <w:b/>
          <w:sz w:val="18"/>
          <w:szCs w:val="18"/>
        </w:rPr>
        <w:t>: Emission Factors (g/VHT) for Heavy Duty Diesel Vehicles by Class</w:t>
      </w:r>
    </w:p>
    <w:tbl>
      <w:tblPr>
        <w:tblW w:w="5000" w:type="pct"/>
        <w:tblLook w:val="04A0" w:firstRow="1" w:lastRow="0" w:firstColumn="1" w:lastColumn="0" w:noHBand="0" w:noVBand="1"/>
      </w:tblPr>
      <w:tblGrid>
        <w:gridCol w:w="805"/>
        <w:gridCol w:w="2601"/>
        <w:gridCol w:w="2610"/>
        <w:gridCol w:w="3560"/>
      </w:tblGrid>
      <w:tr w:rsidR="009B78DD" w:rsidRPr="00323D5D" w:rsidTr="0029208D">
        <w:trPr>
          <w:trHeight w:val="288"/>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Pollutant</w:t>
            </w:r>
          </w:p>
        </w:tc>
        <w:tc>
          <w:tcPr>
            <w:tcW w:w="1491" w:type="pct"/>
            <w:tcBorders>
              <w:top w:val="single" w:sz="4" w:space="0" w:color="auto"/>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b/>
                <w:color w:val="000000"/>
                <w:szCs w:val="22"/>
              </w:rPr>
            </w:pPr>
            <w:r w:rsidRPr="00323D5D">
              <w:rPr>
                <w:color w:val="000000"/>
                <w:szCs w:val="22"/>
              </w:rPr>
              <w:t>Truck Class 8a (g/hour of operation)</w:t>
            </w:r>
          </w:p>
        </w:tc>
        <w:tc>
          <w:tcPr>
            <w:tcW w:w="1374" w:type="pct"/>
            <w:tcBorders>
              <w:top w:val="single" w:sz="4" w:space="0" w:color="auto"/>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Truck Class 8b (g/hour of operation)</w:t>
            </w:r>
          </w:p>
        </w:tc>
        <w:tc>
          <w:tcPr>
            <w:tcW w:w="1533" w:type="pct"/>
            <w:tcBorders>
              <w:top w:val="single" w:sz="4" w:space="0" w:color="auto"/>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Weighted Average Emissions (g/hour of operation)</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VOC</w:t>
            </w:r>
          </w:p>
        </w:tc>
        <w:tc>
          <w:tcPr>
            <w:tcW w:w="1491" w:type="pct"/>
            <w:tcBorders>
              <w:top w:val="nil"/>
              <w:left w:val="nil"/>
              <w:bottom w:val="single" w:sz="4" w:space="0" w:color="auto"/>
              <w:right w:val="single" w:sz="4" w:space="0" w:color="auto"/>
            </w:tcBorders>
            <w:shd w:val="clear" w:color="auto" w:fill="auto"/>
            <w:vAlign w:val="bottom"/>
            <w:hideMark/>
          </w:tcPr>
          <w:p w:rsidR="009B78DD" w:rsidRPr="00323D5D" w:rsidRDefault="009B78DD" w:rsidP="009B78DD">
            <w:pPr>
              <w:spacing w:line="240" w:lineRule="auto"/>
              <w:jc w:val="right"/>
              <w:rPr>
                <w:color w:val="000000"/>
                <w:szCs w:val="22"/>
              </w:rPr>
            </w:pPr>
            <w:r w:rsidRPr="00323D5D">
              <w:rPr>
                <w:color w:val="000000"/>
                <w:szCs w:val="22"/>
              </w:rPr>
              <w:t>3.518</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4.218</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3.868</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THC</w:t>
            </w:r>
          </w:p>
        </w:tc>
        <w:tc>
          <w:tcPr>
            <w:tcW w:w="1491"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3.565</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4.27</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3.9175</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CO</w:t>
            </w:r>
          </w:p>
        </w:tc>
        <w:tc>
          <w:tcPr>
            <w:tcW w:w="1491"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26.548</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34.473</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30.5105</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proofErr w:type="spellStart"/>
            <w:r w:rsidRPr="00323D5D">
              <w:rPr>
                <w:color w:val="000000"/>
                <w:szCs w:val="22"/>
              </w:rPr>
              <w:t>Nox</w:t>
            </w:r>
            <w:proofErr w:type="spellEnd"/>
          </w:p>
        </w:tc>
        <w:tc>
          <w:tcPr>
            <w:tcW w:w="1491"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35.758</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42.345</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39.0515</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PM2.5</w:t>
            </w:r>
          </w:p>
        </w:tc>
        <w:tc>
          <w:tcPr>
            <w:tcW w:w="1491"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1.07</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1.114</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1.092</w:t>
            </w:r>
          </w:p>
        </w:tc>
      </w:tr>
      <w:tr w:rsidR="009B78DD" w:rsidRPr="00323D5D" w:rsidTr="0029208D">
        <w:trPr>
          <w:trHeight w:val="288"/>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rPr>
                <w:color w:val="000000"/>
                <w:szCs w:val="22"/>
              </w:rPr>
            </w:pPr>
            <w:r w:rsidRPr="00323D5D">
              <w:rPr>
                <w:color w:val="000000"/>
                <w:szCs w:val="22"/>
              </w:rPr>
              <w:t>PM10</w:t>
            </w:r>
          </w:p>
        </w:tc>
        <w:tc>
          <w:tcPr>
            <w:tcW w:w="1491"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1.163</w:t>
            </w:r>
          </w:p>
        </w:tc>
        <w:tc>
          <w:tcPr>
            <w:tcW w:w="1374"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1.211</w:t>
            </w:r>
          </w:p>
        </w:tc>
        <w:tc>
          <w:tcPr>
            <w:tcW w:w="1533" w:type="pct"/>
            <w:tcBorders>
              <w:top w:val="nil"/>
              <w:left w:val="nil"/>
              <w:bottom w:val="single" w:sz="4" w:space="0" w:color="auto"/>
              <w:right w:val="single" w:sz="4" w:space="0" w:color="auto"/>
            </w:tcBorders>
            <w:shd w:val="clear" w:color="auto" w:fill="auto"/>
            <w:noWrap/>
            <w:vAlign w:val="bottom"/>
            <w:hideMark/>
          </w:tcPr>
          <w:p w:rsidR="009B78DD" w:rsidRPr="00323D5D" w:rsidRDefault="009B78DD" w:rsidP="009B78DD">
            <w:pPr>
              <w:spacing w:line="240" w:lineRule="auto"/>
              <w:jc w:val="right"/>
              <w:rPr>
                <w:color w:val="000000"/>
                <w:szCs w:val="22"/>
              </w:rPr>
            </w:pPr>
            <w:r w:rsidRPr="00323D5D">
              <w:rPr>
                <w:color w:val="000000"/>
                <w:szCs w:val="22"/>
              </w:rPr>
              <w:t>1.187</w:t>
            </w:r>
          </w:p>
        </w:tc>
      </w:tr>
    </w:tbl>
    <w:p w:rsidR="009B78DD" w:rsidRPr="00323D5D" w:rsidRDefault="009B78DD" w:rsidP="00CD2EA8">
      <w:pPr>
        <w:pStyle w:val="BodyText"/>
        <w:rPr>
          <w:sz w:val="16"/>
          <w:szCs w:val="16"/>
        </w:rPr>
      </w:pPr>
      <w:r w:rsidRPr="00323D5D">
        <w:rPr>
          <w:sz w:val="16"/>
          <w:szCs w:val="16"/>
        </w:rPr>
        <w:t>Source:  Environmental Protection Agency (2008)</w:t>
      </w:r>
    </w:p>
    <w:p w:rsidR="00ED5472" w:rsidRPr="00323D5D" w:rsidRDefault="00ED5472" w:rsidP="00002F3B">
      <w:pPr>
        <w:pStyle w:val="Heading4"/>
        <w:rPr>
          <w:rFonts w:ascii="Times New Roman" w:hAnsi="Times New Roman"/>
        </w:rPr>
      </w:pPr>
      <w:bookmarkStart w:id="132" w:name="_Toc448780328"/>
      <w:r w:rsidRPr="00323D5D">
        <w:rPr>
          <w:rFonts w:ascii="Times New Roman" w:hAnsi="Times New Roman"/>
        </w:rPr>
        <w:t>Emissions Valuation</w:t>
      </w:r>
      <w:r w:rsidR="00616A49" w:rsidRPr="00323D5D">
        <w:rPr>
          <w:rFonts w:ascii="Times New Roman" w:hAnsi="Times New Roman"/>
        </w:rPr>
        <w:t xml:space="preserve"> Approach</w:t>
      </w:r>
      <w:bookmarkEnd w:id="132"/>
    </w:p>
    <w:p w:rsidR="00CC311F" w:rsidRPr="00323D5D" w:rsidRDefault="00ED5472" w:rsidP="00CD2EA8">
      <w:pPr>
        <w:pStyle w:val="BodyText"/>
        <w:rPr>
          <w:sz w:val="18"/>
          <w:szCs w:val="18"/>
        </w:rPr>
      </w:pPr>
      <w:r w:rsidRPr="00323D5D">
        <w:rPr>
          <w:szCs w:val="22"/>
        </w:rPr>
        <w:t>Values for each emission type, with the exception of CO</w:t>
      </w:r>
      <w:r w:rsidRPr="00323D5D">
        <w:rPr>
          <w:szCs w:val="22"/>
          <w:vertAlign w:val="subscript"/>
        </w:rPr>
        <w:t>2</w:t>
      </w:r>
      <w:r w:rsidRPr="00323D5D">
        <w:rPr>
          <w:szCs w:val="22"/>
        </w:rPr>
        <w:t>, were sourced from the National Highway Traffic and Safety Administration</w:t>
      </w:r>
      <w:r w:rsidR="00BA3650" w:rsidRPr="00323D5D">
        <w:rPr>
          <w:szCs w:val="22"/>
        </w:rPr>
        <w:t>’s</w:t>
      </w:r>
      <w:r w:rsidRPr="00323D5D">
        <w:rPr>
          <w:szCs w:val="22"/>
        </w:rPr>
        <w:t xml:space="preserve"> (NHTSA)</w:t>
      </w:r>
      <w:r w:rsidR="00CE1868" w:rsidRPr="00323D5D">
        <w:rPr>
          <w:szCs w:val="22"/>
        </w:rPr>
        <w:t xml:space="preserve"> CAF</w:t>
      </w:r>
      <w:r w:rsidR="00FC2DCA">
        <w:rPr>
          <w:szCs w:val="22"/>
        </w:rPr>
        <w:t>E</w:t>
      </w:r>
      <w:r w:rsidR="00CE1868" w:rsidRPr="00323D5D">
        <w:rPr>
          <w:szCs w:val="22"/>
        </w:rPr>
        <w:t xml:space="preserve"> </w:t>
      </w:r>
      <w:r w:rsidR="00BA3650" w:rsidRPr="00323D5D">
        <w:rPr>
          <w:szCs w:val="22"/>
        </w:rPr>
        <w:t xml:space="preserve">standards for MY2017-MY2025 </w:t>
      </w:r>
      <w:r w:rsidR="00FC2DCA">
        <w:rPr>
          <w:rStyle w:val="FootnoteReference"/>
          <w:szCs w:val="22"/>
        </w:rPr>
        <w:footnoteReference w:id="12"/>
      </w:r>
      <w:r w:rsidR="00BA3650" w:rsidRPr="00323D5D">
        <w:rPr>
          <w:szCs w:val="22"/>
        </w:rPr>
        <w:t>and escalated to $2016</w:t>
      </w:r>
      <w:r w:rsidR="00BA3650" w:rsidRPr="00323D5D">
        <w:rPr>
          <w:rStyle w:val="FootnoteReference"/>
          <w:szCs w:val="22"/>
        </w:rPr>
        <w:footnoteReference w:id="13"/>
      </w:r>
      <w:r w:rsidR="00BA3650" w:rsidRPr="00323D5D">
        <w:rPr>
          <w:szCs w:val="22"/>
        </w:rPr>
        <w:t xml:space="preserve">. An overview of the economic values used for each emission type is shown in Table </w:t>
      </w:r>
      <w:r w:rsidR="00FC2DCA">
        <w:rPr>
          <w:szCs w:val="22"/>
        </w:rPr>
        <w:t>1</w:t>
      </w:r>
      <w:r w:rsidR="00F3566B">
        <w:rPr>
          <w:szCs w:val="22"/>
        </w:rPr>
        <w:t>4</w:t>
      </w:r>
      <w:r w:rsidR="00BA3650" w:rsidRPr="00323D5D">
        <w:rPr>
          <w:szCs w:val="22"/>
        </w:rPr>
        <w:t>.</w:t>
      </w:r>
    </w:p>
    <w:p w:rsidR="00BA3650" w:rsidRPr="00323D5D" w:rsidRDefault="00BA3650" w:rsidP="00862647">
      <w:pPr>
        <w:pStyle w:val="BodyText"/>
        <w:spacing w:after="0"/>
        <w:jc w:val="center"/>
        <w:rPr>
          <w:b/>
          <w:sz w:val="18"/>
          <w:szCs w:val="18"/>
        </w:rPr>
      </w:pPr>
      <w:r w:rsidRPr="00323D5D">
        <w:rPr>
          <w:b/>
          <w:sz w:val="18"/>
          <w:szCs w:val="18"/>
        </w:rPr>
        <w:t xml:space="preserve">Table </w:t>
      </w:r>
      <w:r w:rsidR="00FC2DCA">
        <w:rPr>
          <w:b/>
          <w:sz w:val="18"/>
          <w:szCs w:val="18"/>
        </w:rPr>
        <w:t>1</w:t>
      </w:r>
      <w:r w:rsidR="00F3566B">
        <w:rPr>
          <w:b/>
          <w:sz w:val="18"/>
          <w:szCs w:val="18"/>
        </w:rPr>
        <w:t>4</w:t>
      </w:r>
      <w:r w:rsidRPr="00323D5D">
        <w:rPr>
          <w:b/>
          <w:sz w:val="18"/>
          <w:szCs w:val="18"/>
        </w:rPr>
        <w:t xml:space="preserve">: Economic Values Used for Benefits </w:t>
      </w:r>
      <w:r w:rsidR="00B54404" w:rsidRPr="00323D5D">
        <w:rPr>
          <w:b/>
          <w:sz w:val="18"/>
          <w:szCs w:val="18"/>
        </w:rPr>
        <w:t>Non-CO</w:t>
      </w:r>
      <w:r w:rsidR="00B54404" w:rsidRPr="00323D5D">
        <w:rPr>
          <w:b/>
          <w:sz w:val="18"/>
          <w:szCs w:val="18"/>
          <w:vertAlign w:val="subscript"/>
        </w:rPr>
        <w:t>2</w:t>
      </w:r>
      <w:r w:rsidR="00B54404" w:rsidRPr="00323D5D">
        <w:rPr>
          <w:b/>
          <w:sz w:val="18"/>
          <w:szCs w:val="18"/>
        </w:rPr>
        <w:t xml:space="preserve"> </w:t>
      </w:r>
      <w:r w:rsidRPr="00323D5D">
        <w:rPr>
          <w:b/>
          <w:sz w:val="18"/>
          <w:szCs w:val="18"/>
        </w:rPr>
        <w:t>Emissions Reduced</w:t>
      </w:r>
    </w:p>
    <w:tbl>
      <w:tblPr>
        <w:tblW w:w="5000" w:type="pct"/>
        <w:jc w:val="center"/>
        <w:tblLook w:val="04A0" w:firstRow="1" w:lastRow="0" w:firstColumn="1" w:lastColumn="0" w:noHBand="0" w:noVBand="1"/>
      </w:tblPr>
      <w:tblGrid>
        <w:gridCol w:w="4780"/>
        <w:gridCol w:w="2398"/>
        <w:gridCol w:w="2398"/>
      </w:tblGrid>
      <w:tr w:rsidR="00BA3650" w:rsidRPr="00323D5D" w:rsidTr="0029208D">
        <w:trPr>
          <w:trHeight w:val="288"/>
          <w:jc w:val="center"/>
        </w:trPr>
        <w:tc>
          <w:tcPr>
            <w:tcW w:w="2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b/>
                <w:bCs/>
                <w:color w:val="000000"/>
                <w:szCs w:val="22"/>
              </w:rPr>
            </w:pPr>
            <w:r w:rsidRPr="00323D5D">
              <w:rPr>
                <w:b/>
                <w:bCs/>
                <w:color w:val="000000"/>
                <w:szCs w:val="22"/>
              </w:rPr>
              <w:t>Value of Emissions Reduced</w:t>
            </w:r>
          </w:p>
        </w:tc>
        <w:tc>
          <w:tcPr>
            <w:tcW w:w="1252" w:type="pct"/>
            <w:tcBorders>
              <w:top w:val="single" w:sz="4" w:space="0" w:color="auto"/>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b/>
                <w:bCs/>
                <w:color w:val="000000"/>
                <w:szCs w:val="22"/>
              </w:rPr>
            </w:pPr>
            <w:r w:rsidRPr="00323D5D">
              <w:rPr>
                <w:b/>
                <w:bCs/>
                <w:color w:val="000000"/>
                <w:szCs w:val="22"/>
              </w:rPr>
              <w:t>2016$</w:t>
            </w:r>
          </w:p>
        </w:tc>
        <w:tc>
          <w:tcPr>
            <w:tcW w:w="1252" w:type="pct"/>
            <w:tcBorders>
              <w:top w:val="single" w:sz="4" w:space="0" w:color="auto"/>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b/>
                <w:bCs/>
                <w:color w:val="000000"/>
                <w:szCs w:val="22"/>
              </w:rPr>
            </w:pPr>
            <w:r w:rsidRPr="00323D5D">
              <w:rPr>
                <w:b/>
                <w:bCs/>
                <w:color w:val="000000"/>
                <w:szCs w:val="22"/>
              </w:rPr>
              <w:t xml:space="preserve"> Unit </w:t>
            </w:r>
          </w:p>
        </w:tc>
      </w:tr>
      <w:tr w:rsidR="00BA3650" w:rsidRPr="00323D5D" w:rsidTr="0029208D">
        <w:trPr>
          <w:trHeight w:val="288"/>
          <w:jc w:val="center"/>
        </w:trPr>
        <w:tc>
          <w:tcPr>
            <w:tcW w:w="2496" w:type="pct"/>
            <w:tcBorders>
              <w:top w:val="nil"/>
              <w:left w:val="single" w:sz="4" w:space="0" w:color="auto"/>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Carbon Monoxide</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jc w:val="right"/>
              <w:rPr>
                <w:color w:val="000000"/>
                <w:szCs w:val="22"/>
              </w:rPr>
            </w:pPr>
            <w:r w:rsidRPr="00323D5D">
              <w:rPr>
                <w:color w:val="000000"/>
                <w:szCs w:val="22"/>
              </w:rPr>
              <w:t>$0</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 xml:space="preserve"> $/short ton </w:t>
            </w:r>
          </w:p>
        </w:tc>
      </w:tr>
      <w:tr w:rsidR="00BA3650" w:rsidRPr="00323D5D" w:rsidTr="0029208D">
        <w:trPr>
          <w:trHeight w:val="288"/>
          <w:jc w:val="center"/>
        </w:trPr>
        <w:tc>
          <w:tcPr>
            <w:tcW w:w="2496" w:type="pct"/>
            <w:tcBorders>
              <w:top w:val="nil"/>
              <w:left w:val="single" w:sz="4" w:space="0" w:color="auto"/>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Volatile Organic Compounds</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jc w:val="right"/>
              <w:rPr>
                <w:color w:val="000000"/>
                <w:szCs w:val="22"/>
              </w:rPr>
            </w:pPr>
            <w:r w:rsidRPr="00323D5D">
              <w:rPr>
                <w:color w:val="000000"/>
                <w:szCs w:val="22"/>
              </w:rPr>
              <w:t>$1,873</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 xml:space="preserve"> $/short ton </w:t>
            </w:r>
          </w:p>
        </w:tc>
      </w:tr>
      <w:tr w:rsidR="00BA3650" w:rsidRPr="00323D5D" w:rsidTr="0029208D">
        <w:trPr>
          <w:trHeight w:val="288"/>
          <w:jc w:val="center"/>
        </w:trPr>
        <w:tc>
          <w:tcPr>
            <w:tcW w:w="2496" w:type="pct"/>
            <w:tcBorders>
              <w:top w:val="nil"/>
              <w:left w:val="single" w:sz="4" w:space="0" w:color="auto"/>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Nitrogen Oxides</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jc w:val="right"/>
              <w:rPr>
                <w:color w:val="000000"/>
                <w:szCs w:val="22"/>
              </w:rPr>
            </w:pPr>
            <w:r w:rsidRPr="00323D5D">
              <w:rPr>
                <w:color w:val="000000"/>
                <w:szCs w:val="22"/>
              </w:rPr>
              <w:t>$7,381</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 xml:space="preserve"> $/short ton </w:t>
            </w:r>
          </w:p>
        </w:tc>
      </w:tr>
      <w:tr w:rsidR="00BA3650" w:rsidRPr="00323D5D" w:rsidTr="0029208D">
        <w:trPr>
          <w:trHeight w:val="288"/>
          <w:jc w:val="center"/>
        </w:trPr>
        <w:tc>
          <w:tcPr>
            <w:tcW w:w="2496" w:type="pct"/>
            <w:tcBorders>
              <w:top w:val="nil"/>
              <w:left w:val="single" w:sz="4" w:space="0" w:color="auto"/>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Particulate Matter</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jc w:val="right"/>
              <w:rPr>
                <w:color w:val="000000"/>
                <w:szCs w:val="22"/>
              </w:rPr>
            </w:pPr>
            <w:r w:rsidRPr="00323D5D">
              <w:rPr>
                <w:color w:val="000000"/>
                <w:szCs w:val="22"/>
              </w:rPr>
              <w:t>$337,668</w:t>
            </w:r>
          </w:p>
        </w:tc>
        <w:tc>
          <w:tcPr>
            <w:tcW w:w="1252" w:type="pct"/>
            <w:tcBorders>
              <w:top w:val="nil"/>
              <w:left w:val="nil"/>
              <w:bottom w:val="single" w:sz="4" w:space="0" w:color="auto"/>
              <w:right w:val="single" w:sz="4" w:space="0" w:color="auto"/>
            </w:tcBorders>
            <w:shd w:val="clear" w:color="auto" w:fill="auto"/>
            <w:noWrap/>
            <w:vAlign w:val="bottom"/>
            <w:hideMark/>
          </w:tcPr>
          <w:p w:rsidR="00BA3650" w:rsidRPr="00323D5D" w:rsidRDefault="00BA3650" w:rsidP="00BA3650">
            <w:pPr>
              <w:spacing w:line="240" w:lineRule="auto"/>
              <w:rPr>
                <w:color w:val="000000"/>
                <w:szCs w:val="22"/>
              </w:rPr>
            </w:pPr>
            <w:r w:rsidRPr="00323D5D">
              <w:rPr>
                <w:color w:val="000000"/>
                <w:szCs w:val="22"/>
              </w:rPr>
              <w:t xml:space="preserve"> $/short ton </w:t>
            </w:r>
          </w:p>
        </w:tc>
      </w:tr>
    </w:tbl>
    <w:p w:rsidR="00BA3650" w:rsidRPr="00323D5D" w:rsidRDefault="00BA3650" w:rsidP="0029208D">
      <w:pPr>
        <w:pStyle w:val="BodyText"/>
        <w:rPr>
          <w:sz w:val="16"/>
          <w:szCs w:val="16"/>
        </w:rPr>
      </w:pPr>
      <w:r w:rsidRPr="00323D5D">
        <w:rPr>
          <w:sz w:val="16"/>
          <w:szCs w:val="16"/>
        </w:rPr>
        <w:t>Source:  NHTSA (2012)</w:t>
      </w:r>
    </w:p>
    <w:p w:rsidR="002E690F" w:rsidRPr="00323D5D" w:rsidRDefault="002E690F" w:rsidP="00ED5472">
      <w:pPr>
        <w:pStyle w:val="BodyText"/>
        <w:rPr>
          <w:szCs w:val="22"/>
        </w:rPr>
      </w:pPr>
      <w:r w:rsidRPr="00323D5D">
        <w:rPr>
          <w:szCs w:val="22"/>
        </w:rPr>
        <w:t>Valuation of the cost of CO</w:t>
      </w:r>
      <w:r w:rsidRPr="00323D5D">
        <w:rPr>
          <w:szCs w:val="22"/>
          <w:vertAlign w:val="subscript"/>
        </w:rPr>
        <w:t>2</w:t>
      </w:r>
      <w:r w:rsidRPr="00323D5D">
        <w:rPr>
          <w:szCs w:val="22"/>
        </w:rPr>
        <w:t xml:space="preserve"> emissions follow DOT guidelines which states that monetization within a benefit costs analysis should </w:t>
      </w:r>
      <w:r w:rsidR="00BA3650" w:rsidRPr="00323D5D">
        <w:rPr>
          <w:szCs w:val="22"/>
        </w:rPr>
        <w:t>follow the OMB guidance on the social cost of carbon which recommends the use of a 3</w:t>
      </w:r>
      <w:r w:rsidR="000D0CAC">
        <w:rPr>
          <w:szCs w:val="22"/>
        </w:rPr>
        <w:t xml:space="preserve"> percent</w:t>
      </w:r>
      <w:r w:rsidR="00BA3650" w:rsidRPr="00323D5D">
        <w:rPr>
          <w:szCs w:val="22"/>
        </w:rPr>
        <w:t xml:space="preserve"> discount rate</w:t>
      </w:r>
      <w:r w:rsidRPr="00323D5D">
        <w:rPr>
          <w:rStyle w:val="FootnoteReference"/>
          <w:szCs w:val="22"/>
        </w:rPr>
        <w:footnoteReference w:id="14"/>
      </w:r>
      <w:r w:rsidR="00BA3650" w:rsidRPr="00323D5D">
        <w:rPr>
          <w:szCs w:val="22"/>
        </w:rPr>
        <w:t xml:space="preserve">.  Per ton costs of carbon emissions </w:t>
      </w:r>
      <w:r w:rsidR="00FC2DCA" w:rsidRPr="00323D5D">
        <w:rPr>
          <w:szCs w:val="22"/>
        </w:rPr>
        <w:t>w</w:t>
      </w:r>
      <w:r w:rsidR="00FC2DCA">
        <w:rPr>
          <w:szCs w:val="22"/>
        </w:rPr>
        <w:t>ere</w:t>
      </w:r>
      <w:r w:rsidR="00FC2DCA" w:rsidRPr="00323D5D">
        <w:rPr>
          <w:szCs w:val="22"/>
        </w:rPr>
        <w:t xml:space="preserve"> </w:t>
      </w:r>
      <w:r w:rsidR="00BA3650" w:rsidRPr="00323D5D">
        <w:rPr>
          <w:szCs w:val="22"/>
        </w:rPr>
        <w:t xml:space="preserve">converted to $2016 using </w:t>
      </w:r>
      <w:r w:rsidRPr="00323D5D">
        <w:rPr>
          <w:szCs w:val="22"/>
        </w:rPr>
        <w:t>the OMB’s GDP and Deflator tables</w:t>
      </w:r>
      <w:r w:rsidR="00BA3650" w:rsidRPr="00323D5D">
        <w:rPr>
          <w:szCs w:val="22"/>
        </w:rPr>
        <w:t>.</w:t>
      </w:r>
      <w:r w:rsidRPr="00323D5D">
        <w:rPr>
          <w:szCs w:val="22"/>
        </w:rPr>
        <w:t xml:space="preserve"> Table </w:t>
      </w:r>
      <w:r w:rsidR="00FC2DCA">
        <w:rPr>
          <w:szCs w:val="22"/>
        </w:rPr>
        <w:t>1</w:t>
      </w:r>
      <w:r w:rsidR="00F3566B">
        <w:rPr>
          <w:szCs w:val="22"/>
        </w:rPr>
        <w:t>5</w:t>
      </w:r>
      <w:r w:rsidR="00FC2DCA" w:rsidRPr="00323D5D">
        <w:rPr>
          <w:szCs w:val="22"/>
        </w:rPr>
        <w:t xml:space="preserve"> </w:t>
      </w:r>
      <w:r w:rsidRPr="00323D5D">
        <w:rPr>
          <w:szCs w:val="22"/>
        </w:rPr>
        <w:t xml:space="preserve">shows the assumed social cost of carbon in five year increments across the assessment period. </w:t>
      </w:r>
    </w:p>
    <w:p w:rsidR="002E690F" w:rsidRPr="00323D5D" w:rsidRDefault="002E690F" w:rsidP="00862647">
      <w:pPr>
        <w:pStyle w:val="BodyText"/>
        <w:spacing w:after="0"/>
        <w:rPr>
          <w:b/>
          <w:sz w:val="18"/>
          <w:szCs w:val="18"/>
        </w:rPr>
      </w:pPr>
      <w:r w:rsidRPr="00323D5D">
        <w:rPr>
          <w:b/>
          <w:sz w:val="18"/>
          <w:szCs w:val="18"/>
        </w:rPr>
        <w:t xml:space="preserve">Table </w:t>
      </w:r>
      <w:r w:rsidR="00FC2DCA">
        <w:rPr>
          <w:b/>
          <w:sz w:val="18"/>
          <w:szCs w:val="18"/>
        </w:rPr>
        <w:t>1</w:t>
      </w:r>
      <w:r w:rsidR="00F3566B">
        <w:rPr>
          <w:b/>
          <w:sz w:val="18"/>
          <w:szCs w:val="18"/>
        </w:rPr>
        <w:t>5</w:t>
      </w:r>
      <w:r w:rsidRPr="00323D5D">
        <w:rPr>
          <w:b/>
          <w:sz w:val="18"/>
          <w:szCs w:val="18"/>
        </w:rPr>
        <w:t xml:space="preserve">: Economic Values Used for Benefits of </w:t>
      </w:r>
      <w:r w:rsidR="00B54404" w:rsidRPr="00323D5D">
        <w:rPr>
          <w:b/>
          <w:sz w:val="18"/>
          <w:szCs w:val="18"/>
        </w:rPr>
        <w:t xml:space="preserve">Carbon Dioxide </w:t>
      </w:r>
      <w:r w:rsidRPr="00323D5D">
        <w:rPr>
          <w:b/>
          <w:sz w:val="18"/>
          <w:szCs w:val="18"/>
        </w:rPr>
        <w:t>Emissions Reduced</w:t>
      </w:r>
    </w:p>
    <w:tbl>
      <w:tblPr>
        <w:tblW w:w="5000" w:type="pct"/>
        <w:tblLook w:val="04A0" w:firstRow="1" w:lastRow="0" w:firstColumn="1" w:lastColumn="0" w:noHBand="0" w:noVBand="1"/>
      </w:tblPr>
      <w:tblGrid>
        <w:gridCol w:w="2396"/>
        <w:gridCol w:w="1823"/>
        <w:gridCol w:w="1502"/>
        <w:gridCol w:w="1285"/>
        <w:gridCol w:w="1285"/>
        <w:gridCol w:w="1285"/>
      </w:tblGrid>
      <w:tr w:rsidR="002E690F" w:rsidRPr="00323D5D" w:rsidTr="0029208D">
        <w:trPr>
          <w:trHeight w:val="288"/>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szCs w:val="22"/>
              </w:rPr>
            </w:pPr>
            <w:r w:rsidRPr="00323D5D">
              <w:rPr>
                <w:szCs w:val="22"/>
              </w:rPr>
              <w:t> </w:t>
            </w:r>
          </w:p>
        </w:tc>
        <w:tc>
          <w:tcPr>
            <w:tcW w:w="952" w:type="pct"/>
            <w:tcBorders>
              <w:top w:val="single" w:sz="4" w:space="0" w:color="auto"/>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jc w:val="right"/>
              <w:rPr>
                <w:b/>
                <w:bCs/>
                <w:color w:val="000000"/>
                <w:szCs w:val="22"/>
              </w:rPr>
            </w:pPr>
            <w:r w:rsidRPr="00323D5D">
              <w:rPr>
                <w:b/>
                <w:bCs/>
                <w:color w:val="000000"/>
                <w:szCs w:val="22"/>
              </w:rPr>
              <w:t>2020</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jc w:val="right"/>
              <w:rPr>
                <w:b/>
                <w:bCs/>
                <w:color w:val="000000"/>
                <w:szCs w:val="22"/>
              </w:rPr>
            </w:pPr>
            <w:r w:rsidRPr="00323D5D">
              <w:rPr>
                <w:b/>
                <w:bCs/>
                <w:color w:val="000000"/>
                <w:szCs w:val="22"/>
              </w:rPr>
              <w:t>2025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jc w:val="right"/>
              <w:rPr>
                <w:b/>
                <w:bCs/>
                <w:color w:val="000000"/>
                <w:szCs w:val="22"/>
              </w:rPr>
            </w:pPr>
            <w:r w:rsidRPr="00323D5D">
              <w:rPr>
                <w:b/>
                <w:bCs/>
                <w:color w:val="000000"/>
                <w:szCs w:val="22"/>
              </w:rPr>
              <w:t>2030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jc w:val="right"/>
              <w:rPr>
                <w:b/>
                <w:bCs/>
                <w:color w:val="000000"/>
                <w:szCs w:val="22"/>
              </w:rPr>
            </w:pPr>
            <w:r w:rsidRPr="00323D5D">
              <w:rPr>
                <w:b/>
                <w:bCs/>
                <w:color w:val="000000"/>
                <w:szCs w:val="22"/>
              </w:rPr>
              <w:t>2035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2E690F" w:rsidRPr="00323D5D" w:rsidRDefault="002E690F" w:rsidP="00616A49">
            <w:pPr>
              <w:spacing w:line="240" w:lineRule="auto"/>
              <w:jc w:val="right"/>
              <w:rPr>
                <w:b/>
                <w:bCs/>
                <w:color w:val="000000"/>
                <w:szCs w:val="22"/>
              </w:rPr>
            </w:pPr>
            <w:r w:rsidRPr="00323D5D">
              <w:rPr>
                <w:b/>
                <w:bCs/>
                <w:color w:val="000000"/>
                <w:szCs w:val="22"/>
              </w:rPr>
              <w:t>2</w:t>
            </w:r>
            <w:r w:rsidR="00616A49" w:rsidRPr="00323D5D">
              <w:rPr>
                <w:b/>
                <w:bCs/>
                <w:color w:val="000000"/>
                <w:szCs w:val="22"/>
              </w:rPr>
              <w:t>040</w:t>
            </w:r>
          </w:p>
        </w:tc>
      </w:tr>
      <w:tr w:rsidR="002E690F" w:rsidRPr="00323D5D" w:rsidTr="0029208D">
        <w:trPr>
          <w:trHeight w:val="288"/>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szCs w:val="22"/>
              </w:rPr>
            </w:pPr>
            <w:r w:rsidRPr="00323D5D">
              <w:rPr>
                <w:szCs w:val="22"/>
              </w:rPr>
              <w:t>Social Cost of Carbon</w:t>
            </w:r>
          </w:p>
        </w:tc>
        <w:tc>
          <w:tcPr>
            <w:tcW w:w="952"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47.00 </w:t>
            </w:r>
          </w:p>
        </w:tc>
        <w:tc>
          <w:tcPr>
            <w:tcW w:w="784"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52.00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56.00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62.00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67.00 </w:t>
            </w:r>
          </w:p>
        </w:tc>
      </w:tr>
      <w:tr w:rsidR="002E690F" w:rsidRPr="00323D5D" w:rsidTr="0029208D">
        <w:trPr>
          <w:trHeight w:val="288"/>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Adjusted</w:t>
            </w:r>
          </w:p>
        </w:tc>
        <w:tc>
          <w:tcPr>
            <w:tcW w:w="952"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47.74 </w:t>
            </w:r>
          </w:p>
        </w:tc>
        <w:tc>
          <w:tcPr>
            <w:tcW w:w="784"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52.82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56.89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62.98 </w:t>
            </w:r>
          </w:p>
        </w:tc>
        <w:tc>
          <w:tcPr>
            <w:tcW w:w="671" w:type="pct"/>
            <w:tcBorders>
              <w:top w:val="nil"/>
              <w:left w:val="nil"/>
              <w:bottom w:val="single" w:sz="4" w:space="0" w:color="auto"/>
              <w:right w:val="single" w:sz="4" w:space="0" w:color="auto"/>
            </w:tcBorders>
            <w:shd w:val="clear" w:color="auto" w:fill="auto"/>
            <w:noWrap/>
            <w:vAlign w:val="bottom"/>
            <w:hideMark/>
          </w:tcPr>
          <w:p w:rsidR="002E690F" w:rsidRPr="00323D5D" w:rsidRDefault="002E690F" w:rsidP="002E690F">
            <w:pPr>
              <w:spacing w:line="240" w:lineRule="auto"/>
              <w:rPr>
                <w:color w:val="000000"/>
                <w:szCs w:val="22"/>
              </w:rPr>
            </w:pPr>
            <w:r w:rsidRPr="00323D5D">
              <w:rPr>
                <w:color w:val="000000"/>
                <w:szCs w:val="22"/>
              </w:rPr>
              <w:t xml:space="preserve"> $   68.06 </w:t>
            </w:r>
          </w:p>
        </w:tc>
      </w:tr>
    </w:tbl>
    <w:p w:rsidR="002E690F" w:rsidRPr="00323D5D" w:rsidRDefault="002E690F" w:rsidP="002E690F">
      <w:pPr>
        <w:pStyle w:val="BodyText"/>
        <w:rPr>
          <w:sz w:val="16"/>
          <w:szCs w:val="16"/>
        </w:rPr>
      </w:pPr>
      <w:r w:rsidRPr="00323D5D">
        <w:rPr>
          <w:sz w:val="16"/>
          <w:szCs w:val="16"/>
        </w:rPr>
        <w:t>Source:  OMB (2013)</w:t>
      </w:r>
    </w:p>
    <w:p w:rsidR="00023173" w:rsidRDefault="00023173" w:rsidP="00002F3B">
      <w:pPr>
        <w:pStyle w:val="Heading3"/>
        <w:rPr>
          <w:rFonts w:ascii="Times New Roman" w:hAnsi="Times New Roman" w:cs="Times New Roman"/>
        </w:rPr>
      </w:pPr>
      <w:bookmarkStart w:id="133" w:name="_Toc448780329"/>
      <w:r>
        <w:rPr>
          <w:rFonts w:ascii="Times New Roman" w:hAnsi="Times New Roman" w:cs="Times New Roman"/>
        </w:rPr>
        <w:lastRenderedPageBreak/>
        <w:t xml:space="preserve">Assumptions – </w:t>
      </w:r>
      <w:r w:rsidR="002A4349" w:rsidRPr="00323D5D">
        <w:rPr>
          <w:rFonts w:ascii="Times New Roman" w:hAnsi="Times New Roman" w:cs="Times New Roman"/>
        </w:rPr>
        <w:t>Freight</w:t>
      </w:r>
      <w:bookmarkEnd w:id="133"/>
      <w:r w:rsidR="002A4349" w:rsidRPr="00323D5D">
        <w:rPr>
          <w:rFonts w:ascii="Times New Roman" w:hAnsi="Times New Roman" w:cs="Times New Roman"/>
        </w:rPr>
        <w:t xml:space="preserve"> </w:t>
      </w:r>
    </w:p>
    <w:p w:rsidR="002A4349" w:rsidRPr="00323D5D" w:rsidRDefault="00023173" w:rsidP="006A21C2">
      <w:pPr>
        <w:pStyle w:val="Heading4"/>
      </w:pPr>
      <w:bookmarkStart w:id="134" w:name="_Toc448780330"/>
      <w:r>
        <w:t xml:space="preserve">Freight </w:t>
      </w:r>
      <w:r w:rsidR="002A4349" w:rsidRPr="00323D5D">
        <w:t>Value</w:t>
      </w:r>
      <w:bookmarkEnd w:id="134"/>
    </w:p>
    <w:p w:rsidR="002A4349" w:rsidRPr="00323D5D" w:rsidRDefault="002A4349" w:rsidP="002A4349">
      <w:pPr>
        <w:pStyle w:val="BodyText"/>
      </w:pPr>
      <w:r w:rsidRPr="00323D5D">
        <w:t xml:space="preserve">The value of freight, on a per ton and per truck basis, is required for estimating inventory savings resulting from reduced travel time by commercial truck drivers.  Freight values </w:t>
      </w:r>
      <w:r w:rsidR="00FC2DCA">
        <w:t>were</w:t>
      </w:r>
      <w:r w:rsidR="00FC2DCA" w:rsidRPr="00323D5D">
        <w:t xml:space="preserve"> </w:t>
      </w:r>
      <w:r w:rsidRPr="00323D5D">
        <w:t xml:space="preserve">determined using data from the Federal Highway Administration’s Freight Analysis Framework (FAF) to identify the type and volume of freight whose movement occurs within the assessment corridor.  </w:t>
      </w:r>
      <w:r w:rsidR="00F545F9" w:rsidRPr="00323D5D">
        <w:t xml:space="preserve">The following </w:t>
      </w:r>
      <w:r w:rsidRPr="00323D5D">
        <w:t xml:space="preserve">flows of freight </w:t>
      </w:r>
      <w:r w:rsidR="00FC2DCA">
        <w:t>were</w:t>
      </w:r>
      <w:r w:rsidR="00FC2DCA" w:rsidRPr="00323D5D">
        <w:t xml:space="preserve"> </w:t>
      </w:r>
      <w:r w:rsidRPr="00323D5D">
        <w:t xml:space="preserve">identified </w:t>
      </w:r>
      <w:r w:rsidR="00F545F9" w:rsidRPr="00323D5D">
        <w:t>which utilize the I-25</w:t>
      </w:r>
      <w:r w:rsidRPr="00323D5D">
        <w:t>:</w:t>
      </w:r>
    </w:p>
    <w:p w:rsidR="002A4349" w:rsidRPr="00323D5D" w:rsidRDefault="002A4349" w:rsidP="00F545F9">
      <w:pPr>
        <w:pStyle w:val="BodyText"/>
        <w:numPr>
          <w:ilvl w:val="0"/>
          <w:numId w:val="16"/>
        </w:numPr>
        <w:spacing w:after="0"/>
      </w:pPr>
      <w:r w:rsidRPr="00323D5D">
        <w:t>Domestic Northbound and Southbound Flows</w:t>
      </w:r>
      <w:r w:rsidR="00F545F9" w:rsidRPr="00323D5D">
        <w:t xml:space="preserve"> (Origin or Destination inside Colorado);</w:t>
      </w:r>
    </w:p>
    <w:p w:rsidR="002A4349" w:rsidRPr="00323D5D" w:rsidRDefault="002A4349" w:rsidP="00F545F9">
      <w:pPr>
        <w:pStyle w:val="BodyText"/>
        <w:numPr>
          <w:ilvl w:val="0"/>
          <w:numId w:val="16"/>
        </w:numPr>
        <w:spacing w:after="0"/>
      </w:pPr>
      <w:r w:rsidRPr="00323D5D">
        <w:t>Domestic Northbound and Southbound Passing Flows</w:t>
      </w:r>
      <w:r w:rsidR="00F545F9" w:rsidRPr="00323D5D">
        <w:t>(both Origin or Destination outside Colorado);</w:t>
      </w:r>
    </w:p>
    <w:p w:rsidR="002A4349" w:rsidRPr="00323D5D" w:rsidRDefault="002A4349" w:rsidP="00F545F9">
      <w:pPr>
        <w:pStyle w:val="BodyText"/>
        <w:numPr>
          <w:ilvl w:val="0"/>
          <w:numId w:val="16"/>
        </w:numPr>
        <w:spacing w:after="0"/>
      </w:pPr>
      <w:r w:rsidRPr="00323D5D">
        <w:t>Export Northbound Flows (to Canada via Montana)</w:t>
      </w:r>
      <w:r w:rsidR="00F545F9" w:rsidRPr="00323D5D">
        <w:t>;</w:t>
      </w:r>
    </w:p>
    <w:p w:rsidR="00F545F9" w:rsidRPr="00323D5D" w:rsidRDefault="00F545F9" w:rsidP="00F545F9">
      <w:pPr>
        <w:pStyle w:val="BodyText"/>
        <w:numPr>
          <w:ilvl w:val="0"/>
          <w:numId w:val="16"/>
        </w:numPr>
        <w:spacing w:after="0"/>
      </w:pPr>
      <w:r w:rsidRPr="00323D5D">
        <w:t>Import Southbound Flows (from Canada via Montana);</w:t>
      </w:r>
    </w:p>
    <w:p w:rsidR="00F545F9" w:rsidRPr="00323D5D" w:rsidRDefault="00F545F9" w:rsidP="00F545F9">
      <w:pPr>
        <w:pStyle w:val="BodyText"/>
        <w:numPr>
          <w:ilvl w:val="0"/>
          <w:numId w:val="16"/>
        </w:numPr>
        <w:spacing w:after="0"/>
      </w:pPr>
      <w:r w:rsidRPr="00323D5D">
        <w:t xml:space="preserve">Export Southbound Flows (to Mexico via Texas); and </w:t>
      </w:r>
    </w:p>
    <w:p w:rsidR="00F545F9" w:rsidRPr="00323D5D" w:rsidRDefault="00F545F9" w:rsidP="00F545F9">
      <w:pPr>
        <w:pStyle w:val="BodyText"/>
        <w:numPr>
          <w:ilvl w:val="0"/>
          <w:numId w:val="16"/>
        </w:numPr>
        <w:spacing w:after="0"/>
      </w:pPr>
      <w:r w:rsidRPr="00323D5D">
        <w:t xml:space="preserve">Import Northbound Flows (from Mexico via Texas). </w:t>
      </w:r>
    </w:p>
    <w:p w:rsidR="00FC2DCA" w:rsidRDefault="00F545F9" w:rsidP="00F545F9">
      <w:pPr>
        <w:pStyle w:val="BodyText"/>
        <w:spacing w:after="0"/>
      </w:pPr>
      <w:r w:rsidRPr="00323D5D">
        <w:t xml:space="preserve">For each of these flows, origin-destination (OD) pairs </w:t>
      </w:r>
      <w:r w:rsidR="00FC2DCA">
        <w:t>wer</w:t>
      </w:r>
      <w:r w:rsidR="00FC2DCA" w:rsidRPr="00323D5D">
        <w:t xml:space="preserve">e </w:t>
      </w:r>
      <w:r w:rsidRPr="00323D5D">
        <w:t xml:space="preserve">identified and the total tonnage and value of the freight extracted from FAF data.   This </w:t>
      </w:r>
      <w:r w:rsidR="00FC2DCA">
        <w:t>information was</w:t>
      </w:r>
      <w:r w:rsidR="00FC2DCA" w:rsidRPr="00323D5D">
        <w:t xml:space="preserve"> </w:t>
      </w:r>
      <w:r w:rsidRPr="00323D5D">
        <w:t xml:space="preserve">utilized to determine an average value per ton of freight </w:t>
      </w:r>
      <w:r w:rsidR="00FC2DCA">
        <w:t xml:space="preserve">for each of the aforementioned flows </w:t>
      </w:r>
      <w:r w:rsidRPr="00323D5D">
        <w:t>which utilize the assessment corridor.</w:t>
      </w:r>
    </w:p>
    <w:p w:rsidR="00FC2DCA" w:rsidRDefault="00FC2DCA" w:rsidP="00F545F9">
      <w:pPr>
        <w:pStyle w:val="BodyText"/>
        <w:spacing w:after="0"/>
      </w:pPr>
    </w:p>
    <w:p w:rsidR="00F545F9" w:rsidRPr="00323D5D" w:rsidRDefault="00FC2DCA" w:rsidP="00F545F9">
      <w:pPr>
        <w:pStyle w:val="BodyText"/>
        <w:spacing w:after="0"/>
      </w:pPr>
      <w:r>
        <w:t>T</w:t>
      </w:r>
      <w:r w:rsidR="00F545F9" w:rsidRPr="00323D5D">
        <w:t>he determination of the average tons of freight carried per truck</w:t>
      </w:r>
      <w:r>
        <w:t xml:space="preserve"> began with the identification of </w:t>
      </w:r>
      <w:r w:rsidR="00F545F9" w:rsidRPr="00323D5D">
        <w:t>the maximum weight allowed for road freight</w:t>
      </w:r>
      <w:r>
        <w:t xml:space="preserve"> on the I-25:</w:t>
      </w:r>
      <w:r w:rsidR="00F545F9" w:rsidRPr="00323D5D">
        <w:t xml:space="preserve"> 80,000 pounds </w:t>
      </w:r>
      <w:r w:rsidR="008308C0">
        <w:t>(</w:t>
      </w:r>
      <w:r w:rsidR="00F545F9" w:rsidRPr="00323D5D">
        <w:t>40 tons</w:t>
      </w:r>
      <w:r w:rsidR="008308C0">
        <w:t>)</w:t>
      </w:r>
      <w:r w:rsidR="00F545F9" w:rsidRPr="00323D5D">
        <w:t xml:space="preserve">.  </w:t>
      </w:r>
      <w:r w:rsidR="00862647" w:rsidRPr="00323D5D">
        <w:t xml:space="preserve">This </w:t>
      </w:r>
      <w:r w:rsidR="00F545F9" w:rsidRPr="00323D5D">
        <w:t xml:space="preserve">analysis assumes that the commercial truck, chassis and </w:t>
      </w:r>
      <w:r w:rsidR="00862647" w:rsidRPr="00323D5D">
        <w:t xml:space="preserve">container weigh </w:t>
      </w:r>
      <w:r w:rsidR="008308C0">
        <w:t>16</w:t>
      </w:r>
      <w:r w:rsidR="00862647" w:rsidRPr="00323D5D">
        <w:t xml:space="preserve"> tons and conservatively assume that trucks will on average carry only half their cargo capacity by weight</w:t>
      </w:r>
      <w:r w:rsidR="00002F3B" w:rsidRPr="00323D5D">
        <w:t xml:space="preserve"> to account for empty trips</w:t>
      </w:r>
      <w:r w:rsidR="00862647" w:rsidRPr="00323D5D">
        <w:t xml:space="preserve">.  The remaining 24,000 pounds, or 12 tons, is assumed to be the average weight of freight for every commercial truck utilizing the assessment corridor. </w:t>
      </w:r>
    </w:p>
    <w:p w:rsidR="00862647" w:rsidRPr="00323D5D" w:rsidRDefault="00862647" w:rsidP="00F545F9">
      <w:pPr>
        <w:pStyle w:val="BodyText"/>
        <w:spacing w:after="0"/>
      </w:pPr>
    </w:p>
    <w:p w:rsidR="00862647" w:rsidRPr="00323D5D" w:rsidRDefault="00862647" w:rsidP="00F545F9">
      <w:pPr>
        <w:pStyle w:val="BodyText"/>
        <w:spacing w:after="0"/>
      </w:pPr>
      <w:r w:rsidRPr="00323D5D">
        <w:t xml:space="preserve">An overview of this analysis’ assumptions </w:t>
      </w:r>
      <w:r w:rsidR="00FC2DCA">
        <w:t xml:space="preserve">on the average </w:t>
      </w:r>
      <w:r w:rsidRPr="00323D5D">
        <w:t xml:space="preserve">value </w:t>
      </w:r>
      <w:r w:rsidR="00FC2DCA">
        <w:t xml:space="preserve">per ton of freight, and per truck, </w:t>
      </w:r>
      <w:r w:rsidRPr="00323D5D">
        <w:t xml:space="preserve">is shown in Table </w:t>
      </w:r>
      <w:r w:rsidR="00FC2DCA">
        <w:t>1</w:t>
      </w:r>
      <w:r w:rsidR="00F3566B">
        <w:t>6</w:t>
      </w:r>
      <w:r w:rsidRPr="00323D5D">
        <w:t xml:space="preserve">. </w:t>
      </w:r>
    </w:p>
    <w:p w:rsidR="00862647" w:rsidRPr="00323D5D" w:rsidRDefault="00862647" w:rsidP="00F545F9">
      <w:pPr>
        <w:pStyle w:val="BodyText"/>
        <w:spacing w:after="0"/>
      </w:pPr>
    </w:p>
    <w:p w:rsidR="00862647" w:rsidRDefault="00862647" w:rsidP="00862647">
      <w:pPr>
        <w:pStyle w:val="BodyText"/>
        <w:spacing w:after="0"/>
        <w:jc w:val="center"/>
        <w:rPr>
          <w:b/>
          <w:sz w:val="18"/>
          <w:szCs w:val="18"/>
        </w:rPr>
      </w:pPr>
      <w:r w:rsidRPr="00323D5D">
        <w:rPr>
          <w:b/>
          <w:sz w:val="18"/>
          <w:szCs w:val="18"/>
        </w:rPr>
        <w:t xml:space="preserve">Table </w:t>
      </w:r>
      <w:r w:rsidR="00FC2DCA">
        <w:rPr>
          <w:b/>
          <w:sz w:val="18"/>
          <w:szCs w:val="18"/>
        </w:rPr>
        <w:t>1</w:t>
      </w:r>
      <w:r w:rsidR="00F3566B">
        <w:rPr>
          <w:b/>
          <w:sz w:val="18"/>
          <w:szCs w:val="18"/>
        </w:rPr>
        <w:t>6</w:t>
      </w:r>
      <w:r w:rsidRPr="00323D5D">
        <w:rPr>
          <w:b/>
          <w:sz w:val="18"/>
          <w:szCs w:val="18"/>
        </w:rPr>
        <w:t>: Value of Truck Freight</w:t>
      </w:r>
    </w:p>
    <w:tbl>
      <w:tblPr>
        <w:tblW w:w="5000" w:type="pct"/>
        <w:tblLook w:val="04A0" w:firstRow="1" w:lastRow="0" w:firstColumn="1" w:lastColumn="0" w:noHBand="0" w:noVBand="1"/>
      </w:tblPr>
      <w:tblGrid>
        <w:gridCol w:w="5912"/>
        <w:gridCol w:w="3664"/>
      </w:tblGrid>
      <w:tr w:rsidR="0016458A" w:rsidRPr="0016458A" w:rsidTr="006A21C2">
        <w:trPr>
          <w:trHeight w:val="300"/>
        </w:trPr>
        <w:tc>
          <w:tcPr>
            <w:tcW w:w="3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58A" w:rsidRPr="0016458A" w:rsidRDefault="0016458A" w:rsidP="0016458A">
            <w:pPr>
              <w:spacing w:line="240" w:lineRule="auto"/>
              <w:jc w:val="center"/>
              <w:rPr>
                <w:color w:val="000000"/>
                <w:szCs w:val="22"/>
              </w:rPr>
            </w:pPr>
            <w:r w:rsidRPr="0016458A">
              <w:rPr>
                <w:color w:val="000000"/>
                <w:szCs w:val="22"/>
              </w:rPr>
              <w:t>Value per Ton</w:t>
            </w:r>
            <w:r>
              <w:rPr>
                <w:color w:val="000000"/>
                <w:szCs w:val="22"/>
              </w:rPr>
              <w:t xml:space="preserve"> ($2016)</w:t>
            </w:r>
          </w:p>
        </w:tc>
        <w:tc>
          <w:tcPr>
            <w:tcW w:w="1913" w:type="pct"/>
            <w:tcBorders>
              <w:top w:val="single" w:sz="4" w:space="0" w:color="auto"/>
              <w:left w:val="nil"/>
              <w:bottom w:val="single" w:sz="4" w:space="0" w:color="auto"/>
              <w:right w:val="single" w:sz="4" w:space="0" w:color="auto"/>
            </w:tcBorders>
            <w:shd w:val="clear" w:color="auto" w:fill="auto"/>
            <w:vAlign w:val="center"/>
            <w:hideMark/>
          </w:tcPr>
          <w:p w:rsidR="0016458A" w:rsidRPr="0016458A" w:rsidRDefault="0016458A" w:rsidP="0016458A">
            <w:pPr>
              <w:spacing w:line="240" w:lineRule="auto"/>
              <w:jc w:val="center"/>
              <w:rPr>
                <w:color w:val="000000"/>
                <w:szCs w:val="22"/>
              </w:rPr>
            </w:pPr>
            <w:r w:rsidRPr="0016458A">
              <w:rPr>
                <w:color w:val="000000"/>
                <w:szCs w:val="22"/>
              </w:rPr>
              <w:t xml:space="preserve">1,916 </w:t>
            </w:r>
          </w:p>
        </w:tc>
      </w:tr>
      <w:tr w:rsidR="0016458A" w:rsidRPr="0016458A" w:rsidTr="006A21C2">
        <w:trPr>
          <w:trHeight w:val="288"/>
        </w:trPr>
        <w:tc>
          <w:tcPr>
            <w:tcW w:w="3087" w:type="pct"/>
            <w:tcBorders>
              <w:top w:val="nil"/>
              <w:left w:val="single" w:sz="4" w:space="0" w:color="auto"/>
              <w:bottom w:val="single" w:sz="4" w:space="0" w:color="auto"/>
              <w:right w:val="single" w:sz="4" w:space="0" w:color="auto"/>
            </w:tcBorders>
            <w:shd w:val="clear" w:color="auto" w:fill="auto"/>
            <w:noWrap/>
            <w:vAlign w:val="center"/>
            <w:hideMark/>
          </w:tcPr>
          <w:p w:rsidR="0016458A" w:rsidRPr="0016458A" w:rsidRDefault="0016458A" w:rsidP="0016458A">
            <w:pPr>
              <w:spacing w:line="240" w:lineRule="auto"/>
              <w:jc w:val="center"/>
              <w:rPr>
                <w:color w:val="000000"/>
                <w:szCs w:val="22"/>
              </w:rPr>
            </w:pPr>
            <w:r w:rsidRPr="0016458A">
              <w:rPr>
                <w:color w:val="000000"/>
                <w:szCs w:val="22"/>
              </w:rPr>
              <w:t>Value per Truck</w:t>
            </w:r>
            <w:r>
              <w:rPr>
                <w:color w:val="000000"/>
                <w:szCs w:val="22"/>
              </w:rPr>
              <w:t xml:space="preserve"> ($2016)</w:t>
            </w:r>
          </w:p>
        </w:tc>
        <w:tc>
          <w:tcPr>
            <w:tcW w:w="1913" w:type="pct"/>
            <w:tcBorders>
              <w:top w:val="nil"/>
              <w:left w:val="nil"/>
              <w:bottom w:val="single" w:sz="4" w:space="0" w:color="auto"/>
              <w:right w:val="single" w:sz="4" w:space="0" w:color="auto"/>
            </w:tcBorders>
            <w:shd w:val="clear" w:color="auto" w:fill="auto"/>
            <w:vAlign w:val="center"/>
            <w:hideMark/>
          </w:tcPr>
          <w:p w:rsidR="0016458A" w:rsidRPr="0016458A" w:rsidRDefault="0016458A" w:rsidP="0016458A">
            <w:pPr>
              <w:spacing w:line="240" w:lineRule="auto"/>
              <w:jc w:val="center"/>
              <w:rPr>
                <w:color w:val="000000"/>
                <w:szCs w:val="22"/>
              </w:rPr>
            </w:pPr>
            <w:r w:rsidRPr="0016458A">
              <w:rPr>
                <w:color w:val="000000"/>
                <w:szCs w:val="22"/>
              </w:rPr>
              <w:t xml:space="preserve">22,987 </w:t>
            </w:r>
          </w:p>
        </w:tc>
      </w:tr>
    </w:tbl>
    <w:p w:rsidR="00862647" w:rsidRPr="00323D5D" w:rsidRDefault="00862647" w:rsidP="0029208D">
      <w:pPr>
        <w:pStyle w:val="BodyText"/>
        <w:jc w:val="left"/>
        <w:rPr>
          <w:sz w:val="16"/>
          <w:szCs w:val="16"/>
        </w:rPr>
      </w:pPr>
      <w:r w:rsidRPr="00323D5D">
        <w:rPr>
          <w:sz w:val="16"/>
          <w:szCs w:val="16"/>
        </w:rPr>
        <w:t xml:space="preserve"> Source:  FHWA (2016), AECOM</w:t>
      </w:r>
    </w:p>
    <w:p w:rsidR="002A4349" w:rsidRPr="00323D5D" w:rsidRDefault="002A4349" w:rsidP="006A21C2">
      <w:pPr>
        <w:pStyle w:val="Heading4"/>
      </w:pPr>
      <w:bookmarkStart w:id="135" w:name="_Toc448780331"/>
      <w:r w:rsidRPr="00323D5D">
        <w:t>Freight Inventory</w:t>
      </w:r>
      <w:bookmarkEnd w:id="135"/>
      <w:r w:rsidRPr="00323D5D">
        <w:t xml:space="preserve"> </w:t>
      </w:r>
    </w:p>
    <w:p w:rsidR="00242956" w:rsidRPr="00323D5D" w:rsidRDefault="00242956" w:rsidP="00242956">
      <w:pPr>
        <w:pStyle w:val="BodyText"/>
      </w:pPr>
      <w:r w:rsidRPr="00323D5D">
        <w:t xml:space="preserve">The inventory cost associated with the annual truckloads and annual hours of delay is based on the commercial discount – the opportunity cost associated with holding assets in inventory rather than using them for another purpose.  An avoidance of delays with the delivery of freight contributes to a savings in freight inventory costs.  This analysis uses a commercial discount rate of 4.0%. Assuming 8,760 hours in a year (365 days * 24 hours), this yields an hourly discount rate of 0.00046%.  Multiplying this hourly discount rate by value of freight shipped and </w:t>
      </w:r>
      <w:r w:rsidR="00862647" w:rsidRPr="00323D5D">
        <w:t xml:space="preserve">by </w:t>
      </w:r>
      <w:r w:rsidRPr="00323D5D">
        <w:t>the</w:t>
      </w:r>
      <w:r w:rsidR="00862647" w:rsidRPr="00323D5D">
        <w:t xml:space="preserve"> hours of delay avoided yields an</w:t>
      </w:r>
      <w:r w:rsidRPr="00323D5D">
        <w:t xml:space="preserve"> annual value of inventory savings.   </w:t>
      </w:r>
    </w:p>
    <w:p w:rsidR="00023173" w:rsidRDefault="00023173" w:rsidP="00023173">
      <w:pPr>
        <w:pStyle w:val="Heading3"/>
        <w:rPr>
          <w:rFonts w:ascii="Times New Roman" w:hAnsi="Times New Roman" w:cs="Times New Roman"/>
        </w:rPr>
      </w:pPr>
      <w:bookmarkStart w:id="136" w:name="_Toc448780332"/>
      <w:r>
        <w:rPr>
          <w:rFonts w:ascii="Times New Roman" w:hAnsi="Times New Roman" w:cs="Times New Roman"/>
        </w:rPr>
        <w:lastRenderedPageBreak/>
        <w:t>Assumptions – Other Categories</w:t>
      </w:r>
      <w:bookmarkEnd w:id="136"/>
    </w:p>
    <w:p w:rsidR="00023173" w:rsidRPr="00323D5D" w:rsidRDefault="00023173" w:rsidP="00023173">
      <w:pPr>
        <w:pStyle w:val="Heading4"/>
      </w:pPr>
      <w:bookmarkStart w:id="137" w:name="_Toc448780333"/>
      <w:r w:rsidRPr="00323D5D">
        <w:t>Tolling Revenues</w:t>
      </w:r>
      <w:bookmarkEnd w:id="137"/>
    </w:p>
    <w:p w:rsidR="00023173" w:rsidRPr="00323D5D" w:rsidRDefault="00023173" w:rsidP="00023173">
      <w:pPr>
        <w:pStyle w:val="BodyText"/>
      </w:pPr>
      <w:r w:rsidRPr="00323D5D">
        <w:t>Tolling revenues for this analysis were provided by Atkins, as de</w:t>
      </w:r>
      <w:r w:rsidR="009E5FE0">
        <w:t>rived</w:t>
      </w:r>
      <w:r w:rsidRPr="00323D5D">
        <w:t xml:space="preserve"> from CMD–Smith’s 2016 update to the</w:t>
      </w:r>
      <w:r w:rsidR="009E5FE0">
        <w:t>ir</w:t>
      </w:r>
      <w:r w:rsidRPr="00323D5D">
        <w:t xml:space="preserve"> 2014 T&amp;R Study.  These represent the total tolling revenue from all north- and southbound tolling points within the corridor. High occupancy vehicles with three or more passengers (HOV3+), buses, van pools, and motorcycles are not assessed a toll for using the managed lanes in the corridor. </w:t>
      </w:r>
    </w:p>
    <w:p w:rsidR="00023173" w:rsidRPr="00323D5D" w:rsidRDefault="00023173" w:rsidP="00023173">
      <w:pPr>
        <w:pStyle w:val="BodyText"/>
      </w:pPr>
      <w:r w:rsidRPr="00323D5D">
        <w:t xml:space="preserve">Tolling revenue for the corridor from the commencement of operation is 2021 until the conclusion of the assessment period in 2040 is estimated at $117.4 million </w:t>
      </w:r>
      <w:r>
        <w:t xml:space="preserve">undiscounted </w:t>
      </w:r>
      <w:r w:rsidRPr="00323D5D">
        <w:t>dollars.</w:t>
      </w:r>
    </w:p>
    <w:p w:rsidR="00023173" w:rsidRPr="00323D5D" w:rsidRDefault="00023173" w:rsidP="00023173">
      <w:pPr>
        <w:pStyle w:val="BodyText"/>
      </w:pPr>
      <w:r w:rsidRPr="00323D5D">
        <w:t xml:space="preserve">Consistent with DOT guidance, revenue in this analysis is treated </w:t>
      </w:r>
      <w:r>
        <w:t xml:space="preserve">neither </w:t>
      </w:r>
      <w:r w:rsidRPr="00323D5D">
        <w:t xml:space="preserve">as </w:t>
      </w:r>
      <w:r>
        <w:t>a benefit nor as an offset to costs</w:t>
      </w:r>
      <w:r w:rsidRPr="00323D5D">
        <w:t xml:space="preserve">, but rather as a transfer. </w:t>
      </w:r>
    </w:p>
    <w:p w:rsidR="00023173" w:rsidRPr="00323D5D" w:rsidRDefault="00023173" w:rsidP="00023173">
      <w:pPr>
        <w:pStyle w:val="Heading4"/>
        <w:rPr>
          <w:rFonts w:ascii="Times New Roman" w:hAnsi="Times New Roman"/>
        </w:rPr>
      </w:pPr>
      <w:bookmarkStart w:id="138" w:name="_Toc448780334"/>
      <w:r w:rsidRPr="00323D5D">
        <w:rPr>
          <w:rFonts w:ascii="Times New Roman" w:hAnsi="Times New Roman"/>
        </w:rPr>
        <w:t>Residual Value</w:t>
      </w:r>
      <w:bookmarkEnd w:id="138"/>
    </w:p>
    <w:p w:rsidR="00FC1390" w:rsidRPr="00323D5D" w:rsidRDefault="00023173" w:rsidP="00023173">
      <w:pPr>
        <w:pStyle w:val="BodyText"/>
      </w:pPr>
      <w:r w:rsidRPr="00323D5D">
        <w:t xml:space="preserve">The major categories of infrastructure components which comprise the </w:t>
      </w:r>
      <w:r w:rsidR="003B3E40">
        <w:t>I-25 Project</w:t>
      </w:r>
      <w:r w:rsidRPr="00323D5D">
        <w:t xml:space="preserve"> have different assumed asset lives.  For instance</w:t>
      </w:r>
      <w:r w:rsidR="009E5FE0">
        <w:t xml:space="preserve">, a </w:t>
      </w:r>
      <w:r w:rsidRPr="00323D5D">
        <w:t xml:space="preserve">bridge which has been reconstructed will have an assumed life of 75 years while a rehabilitated asphalt pavement general purpose lane will have an assumed useful life of 10 years and will need to be replaced or rehabilitated in 2031.  Those assets with useful lives longer than the 20 years following commencement of operations will thus have a residual value which can be discounted back to a net present value and included in the project benefits.  Table </w:t>
      </w:r>
      <w:r w:rsidR="009E5FE0">
        <w:t>1</w:t>
      </w:r>
      <w:r w:rsidR="00F3566B">
        <w:t>7</w:t>
      </w:r>
      <w:r w:rsidRPr="00323D5D">
        <w:t xml:space="preserve"> below provides and overview of the useful lives of asset categories within the </w:t>
      </w:r>
      <w:r w:rsidR="003B3E40">
        <w:t>I-25 Project</w:t>
      </w:r>
      <w:r w:rsidRPr="00323D5D">
        <w:t>.</w:t>
      </w:r>
    </w:p>
    <w:p w:rsidR="00023173" w:rsidRPr="00323D5D" w:rsidRDefault="00023173" w:rsidP="00023173">
      <w:pPr>
        <w:pStyle w:val="BodyText"/>
        <w:spacing w:after="0"/>
        <w:jc w:val="center"/>
        <w:rPr>
          <w:b/>
          <w:sz w:val="18"/>
          <w:szCs w:val="18"/>
        </w:rPr>
      </w:pPr>
      <w:r w:rsidRPr="00323D5D">
        <w:rPr>
          <w:b/>
          <w:sz w:val="18"/>
          <w:szCs w:val="18"/>
        </w:rPr>
        <w:t xml:space="preserve">Table </w:t>
      </w:r>
      <w:r w:rsidR="009E5FE0">
        <w:rPr>
          <w:b/>
          <w:sz w:val="18"/>
          <w:szCs w:val="18"/>
        </w:rPr>
        <w:t>1</w:t>
      </w:r>
      <w:r w:rsidR="00F3566B">
        <w:rPr>
          <w:b/>
          <w:sz w:val="18"/>
          <w:szCs w:val="18"/>
        </w:rPr>
        <w:t>7</w:t>
      </w:r>
      <w:r w:rsidRPr="00323D5D">
        <w:rPr>
          <w:b/>
          <w:sz w:val="18"/>
          <w:szCs w:val="18"/>
        </w:rPr>
        <w:t>: Assumed Useful Life of Assets – Assessment Corridor</w:t>
      </w:r>
    </w:p>
    <w:tbl>
      <w:tblPr>
        <w:tblW w:w="5000" w:type="pct"/>
        <w:tblLook w:val="04A0" w:firstRow="1" w:lastRow="0" w:firstColumn="1" w:lastColumn="0" w:noHBand="0" w:noVBand="1"/>
      </w:tblPr>
      <w:tblGrid>
        <w:gridCol w:w="1573"/>
        <w:gridCol w:w="3321"/>
        <w:gridCol w:w="2118"/>
        <w:gridCol w:w="2564"/>
      </w:tblGrid>
      <w:tr w:rsidR="00023173" w:rsidRPr="00323D5D" w:rsidTr="00FC1390">
        <w:trPr>
          <w:trHeight w:val="287"/>
        </w:trPr>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Asset Type</w:t>
            </w:r>
          </w:p>
        </w:tc>
        <w:tc>
          <w:tcPr>
            <w:tcW w:w="1734" w:type="pct"/>
            <w:tcBorders>
              <w:top w:val="single" w:sz="4" w:space="0" w:color="auto"/>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Construction Type</w:t>
            </w:r>
          </w:p>
        </w:tc>
        <w:tc>
          <w:tcPr>
            <w:tcW w:w="1106" w:type="pct"/>
            <w:tcBorders>
              <w:top w:val="single" w:sz="4" w:space="0" w:color="auto"/>
              <w:left w:val="nil"/>
              <w:bottom w:val="single" w:sz="4" w:space="0" w:color="auto"/>
              <w:right w:val="single" w:sz="4" w:space="0" w:color="auto"/>
            </w:tcBorders>
            <w:shd w:val="clear" w:color="auto" w:fill="auto"/>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Assumed Useful Life</w:t>
            </w:r>
          </w:p>
        </w:tc>
        <w:tc>
          <w:tcPr>
            <w:tcW w:w="1339" w:type="pct"/>
            <w:tcBorders>
              <w:top w:val="single" w:sz="4" w:space="0" w:color="auto"/>
              <w:left w:val="nil"/>
              <w:bottom w:val="single" w:sz="4" w:space="0" w:color="auto"/>
              <w:right w:val="single" w:sz="4" w:space="0" w:color="auto"/>
            </w:tcBorders>
            <w:shd w:val="clear" w:color="auto" w:fill="auto"/>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Residual Value Applicable</w:t>
            </w:r>
          </w:p>
        </w:tc>
      </w:tr>
      <w:tr w:rsidR="00023173" w:rsidRPr="00323D5D" w:rsidTr="00FC1390">
        <w:trPr>
          <w:trHeight w:val="288"/>
        </w:trPr>
        <w:tc>
          <w:tcPr>
            <w:tcW w:w="821" w:type="pct"/>
            <w:vMerge w:val="restart"/>
            <w:tcBorders>
              <w:top w:val="nil"/>
              <w:left w:val="single" w:sz="4" w:space="0" w:color="auto"/>
              <w:bottom w:val="single" w:sz="4" w:space="0" w:color="auto"/>
              <w:right w:val="single" w:sz="4" w:space="0" w:color="auto"/>
            </w:tcBorders>
            <w:shd w:val="clear" w:color="auto" w:fill="auto"/>
            <w:vAlign w:val="bottom"/>
            <w:hideMark/>
          </w:tcPr>
          <w:p w:rsidR="00023173" w:rsidRPr="00323D5D" w:rsidRDefault="00023173" w:rsidP="00184258">
            <w:pPr>
              <w:spacing w:line="240" w:lineRule="auto"/>
              <w:jc w:val="center"/>
              <w:rPr>
                <w:b/>
                <w:bCs/>
                <w:color w:val="000000"/>
                <w:szCs w:val="22"/>
              </w:rPr>
            </w:pPr>
            <w:r w:rsidRPr="00323D5D">
              <w:rPr>
                <w:b/>
                <w:bCs/>
                <w:color w:val="000000"/>
                <w:szCs w:val="22"/>
              </w:rPr>
              <w:t xml:space="preserve">General Purpose and Managed Lanes </w:t>
            </w:r>
          </w:p>
        </w:tc>
        <w:tc>
          <w:tcPr>
            <w:tcW w:w="173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New - Asphalt</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20</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Pr>
                <w:color w:val="000000"/>
                <w:szCs w:val="22"/>
              </w:rPr>
              <w:sym w:font="Wingdings" w:char="F0FC"/>
            </w:r>
          </w:p>
        </w:tc>
      </w:tr>
      <w:tr w:rsidR="00023173" w:rsidRPr="00323D5D" w:rsidTr="00FC1390">
        <w:trPr>
          <w:trHeight w:val="288"/>
        </w:trPr>
        <w:tc>
          <w:tcPr>
            <w:tcW w:w="821" w:type="pct"/>
            <w:vMerge/>
            <w:tcBorders>
              <w:top w:val="nil"/>
              <w:left w:val="single" w:sz="4" w:space="0" w:color="auto"/>
              <w:bottom w:val="single" w:sz="4" w:space="0" w:color="auto"/>
              <w:right w:val="single" w:sz="4" w:space="0" w:color="auto"/>
            </w:tcBorders>
            <w:vAlign w:val="center"/>
            <w:hideMark/>
          </w:tcPr>
          <w:p w:rsidR="00023173" w:rsidRPr="00323D5D" w:rsidRDefault="00023173" w:rsidP="00184258">
            <w:pPr>
              <w:spacing w:line="240" w:lineRule="auto"/>
              <w:rPr>
                <w:b/>
                <w:bCs/>
                <w:color w:val="000000"/>
                <w:szCs w:val="22"/>
              </w:rPr>
            </w:pPr>
          </w:p>
        </w:tc>
        <w:tc>
          <w:tcPr>
            <w:tcW w:w="173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New - Concrete</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30</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Pr>
                <w:color w:val="000000"/>
                <w:szCs w:val="22"/>
              </w:rPr>
              <w:sym w:font="Wingdings" w:char="F0FC"/>
            </w:r>
          </w:p>
        </w:tc>
      </w:tr>
      <w:tr w:rsidR="00023173" w:rsidRPr="00323D5D" w:rsidTr="00FC1390">
        <w:trPr>
          <w:trHeight w:val="288"/>
        </w:trPr>
        <w:tc>
          <w:tcPr>
            <w:tcW w:w="821" w:type="pct"/>
            <w:vMerge/>
            <w:tcBorders>
              <w:top w:val="nil"/>
              <w:left w:val="single" w:sz="4" w:space="0" w:color="auto"/>
              <w:bottom w:val="single" w:sz="4" w:space="0" w:color="auto"/>
              <w:right w:val="single" w:sz="4" w:space="0" w:color="auto"/>
            </w:tcBorders>
            <w:vAlign w:val="center"/>
            <w:hideMark/>
          </w:tcPr>
          <w:p w:rsidR="00023173" w:rsidRPr="00323D5D" w:rsidRDefault="00023173" w:rsidP="00184258">
            <w:pPr>
              <w:spacing w:line="240" w:lineRule="auto"/>
              <w:rPr>
                <w:b/>
                <w:bCs/>
                <w:color w:val="000000"/>
                <w:szCs w:val="22"/>
              </w:rPr>
            </w:pPr>
          </w:p>
        </w:tc>
        <w:tc>
          <w:tcPr>
            <w:tcW w:w="173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Concrete Pavement Reconstruction</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30</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Pr>
                <w:color w:val="000000"/>
                <w:szCs w:val="22"/>
              </w:rPr>
              <w:sym w:font="Wingdings" w:char="F0FC"/>
            </w:r>
          </w:p>
        </w:tc>
      </w:tr>
      <w:tr w:rsidR="00023173" w:rsidRPr="00323D5D" w:rsidTr="00FC1390">
        <w:trPr>
          <w:trHeight w:val="288"/>
        </w:trPr>
        <w:tc>
          <w:tcPr>
            <w:tcW w:w="821" w:type="pct"/>
            <w:vMerge/>
            <w:tcBorders>
              <w:top w:val="nil"/>
              <w:left w:val="single" w:sz="4" w:space="0" w:color="auto"/>
              <w:bottom w:val="single" w:sz="4" w:space="0" w:color="auto"/>
              <w:right w:val="single" w:sz="4" w:space="0" w:color="auto"/>
            </w:tcBorders>
            <w:vAlign w:val="center"/>
            <w:hideMark/>
          </w:tcPr>
          <w:p w:rsidR="00023173" w:rsidRPr="00323D5D" w:rsidRDefault="00023173" w:rsidP="00184258">
            <w:pPr>
              <w:spacing w:line="240" w:lineRule="auto"/>
              <w:rPr>
                <w:b/>
                <w:bCs/>
                <w:color w:val="000000"/>
                <w:szCs w:val="22"/>
              </w:rPr>
            </w:pPr>
          </w:p>
        </w:tc>
        <w:tc>
          <w:tcPr>
            <w:tcW w:w="173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Asphalt Pavement Rehabilitation</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10</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 </w:t>
            </w:r>
          </w:p>
        </w:tc>
      </w:tr>
      <w:tr w:rsidR="00023173" w:rsidRPr="00323D5D" w:rsidTr="00FC1390">
        <w:trPr>
          <w:trHeight w:val="125"/>
        </w:trPr>
        <w:tc>
          <w:tcPr>
            <w:tcW w:w="82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b/>
                <w:bCs/>
                <w:color w:val="000000"/>
                <w:szCs w:val="22"/>
              </w:rPr>
            </w:pPr>
            <w:r>
              <w:rPr>
                <w:b/>
                <w:bCs/>
                <w:color w:val="000000"/>
                <w:szCs w:val="22"/>
              </w:rPr>
              <w:t>Bridges</w:t>
            </w:r>
          </w:p>
        </w:tc>
        <w:tc>
          <w:tcPr>
            <w:tcW w:w="1734" w:type="pct"/>
            <w:tcBorders>
              <w:top w:val="nil"/>
              <w:left w:val="nil"/>
              <w:bottom w:val="single" w:sz="4" w:space="0" w:color="auto"/>
              <w:right w:val="single" w:sz="4" w:space="0" w:color="auto"/>
            </w:tcBorders>
            <w:shd w:val="clear" w:color="000000" w:fill="FFFFFF"/>
            <w:vAlign w:val="bottom"/>
            <w:hideMark/>
          </w:tcPr>
          <w:p w:rsidR="00023173" w:rsidRPr="00323D5D" w:rsidRDefault="00023173" w:rsidP="00184258">
            <w:pPr>
              <w:spacing w:line="240" w:lineRule="auto"/>
              <w:rPr>
                <w:color w:val="000000"/>
                <w:szCs w:val="22"/>
              </w:rPr>
            </w:pPr>
            <w:r w:rsidRPr="00323D5D">
              <w:rPr>
                <w:color w:val="000000"/>
                <w:szCs w:val="22"/>
              </w:rPr>
              <w:t xml:space="preserve">Widen </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25</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Pr>
                <w:color w:val="000000"/>
                <w:szCs w:val="22"/>
              </w:rPr>
              <w:sym w:font="Wingdings" w:char="F0FC"/>
            </w:r>
          </w:p>
        </w:tc>
      </w:tr>
      <w:tr w:rsidR="00023173" w:rsidRPr="00323D5D" w:rsidTr="00FC1390">
        <w:trPr>
          <w:trHeight w:val="70"/>
        </w:trPr>
        <w:tc>
          <w:tcPr>
            <w:tcW w:w="821" w:type="pct"/>
            <w:vMerge/>
            <w:tcBorders>
              <w:top w:val="nil"/>
              <w:left w:val="single" w:sz="4" w:space="0" w:color="auto"/>
              <w:bottom w:val="single" w:sz="4" w:space="0" w:color="auto"/>
              <w:right w:val="single" w:sz="4" w:space="0" w:color="auto"/>
            </w:tcBorders>
            <w:vAlign w:val="center"/>
            <w:hideMark/>
          </w:tcPr>
          <w:p w:rsidR="00023173" w:rsidRPr="00323D5D" w:rsidRDefault="00023173" w:rsidP="00184258">
            <w:pPr>
              <w:spacing w:line="240" w:lineRule="auto"/>
              <w:rPr>
                <w:b/>
                <w:bCs/>
                <w:color w:val="000000"/>
                <w:szCs w:val="22"/>
              </w:rPr>
            </w:pPr>
          </w:p>
        </w:tc>
        <w:tc>
          <w:tcPr>
            <w:tcW w:w="1734"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rPr>
                <w:color w:val="000000"/>
                <w:szCs w:val="22"/>
              </w:rPr>
            </w:pPr>
            <w:r w:rsidRPr="00323D5D">
              <w:rPr>
                <w:color w:val="000000"/>
                <w:szCs w:val="22"/>
              </w:rPr>
              <w:t>Reconstruction</w:t>
            </w:r>
          </w:p>
        </w:tc>
        <w:tc>
          <w:tcPr>
            <w:tcW w:w="1106"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sidRPr="00323D5D">
              <w:rPr>
                <w:color w:val="000000"/>
                <w:szCs w:val="22"/>
              </w:rPr>
              <w:t>75</w:t>
            </w:r>
          </w:p>
        </w:tc>
        <w:tc>
          <w:tcPr>
            <w:tcW w:w="1339" w:type="pct"/>
            <w:tcBorders>
              <w:top w:val="nil"/>
              <w:left w:val="nil"/>
              <w:bottom w:val="single" w:sz="4" w:space="0" w:color="auto"/>
              <w:right w:val="single" w:sz="4" w:space="0" w:color="auto"/>
            </w:tcBorders>
            <w:shd w:val="clear" w:color="auto" w:fill="auto"/>
            <w:noWrap/>
            <w:vAlign w:val="bottom"/>
            <w:hideMark/>
          </w:tcPr>
          <w:p w:rsidR="00023173" w:rsidRPr="00323D5D" w:rsidRDefault="00023173" w:rsidP="00184258">
            <w:pPr>
              <w:spacing w:line="240" w:lineRule="auto"/>
              <w:jc w:val="center"/>
              <w:rPr>
                <w:color w:val="000000"/>
                <w:szCs w:val="22"/>
              </w:rPr>
            </w:pPr>
            <w:r>
              <w:rPr>
                <w:color w:val="000000"/>
                <w:szCs w:val="22"/>
              </w:rPr>
              <w:sym w:font="Wingdings" w:char="F0FC"/>
            </w:r>
          </w:p>
        </w:tc>
      </w:tr>
      <w:tr w:rsidR="00FC1390" w:rsidRPr="00323D5D" w:rsidTr="00FC1390">
        <w:trPr>
          <w:trHeight w:val="70"/>
        </w:trPr>
        <w:tc>
          <w:tcPr>
            <w:tcW w:w="821" w:type="pct"/>
            <w:vMerge w:val="restart"/>
            <w:tcBorders>
              <w:top w:val="nil"/>
              <w:left w:val="single" w:sz="4" w:space="0" w:color="auto"/>
              <w:right w:val="single" w:sz="4" w:space="0" w:color="auto"/>
            </w:tcBorders>
            <w:vAlign w:val="bottom"/>
          </w:tcPr>
          <w:p w:rsidR="00FC1390" w:rsidRPr="00323D5D" w:rsidRDefault="00FC1390" w:rsidP="00FC1390">
            <w:pPr>
              <w:spacing w:line="240" w:lineRule="auto"/>
              <w:jc w:val="center"/>
              <w:rPr>
                <w:b/>
                <w:bCs/>
                <w:color w:val="000000"/>
                <w:szCs w:val="22"/>
              </w:rPr>
            </w:pPr>
            <w:r w:rsidRPr="00323D5D">
              <w:rPr>
                <w:b/>
                <w:bCs/>
                <w:color w:val="000000"/>
                <w:szCs w:val="22"/>
              </w:rPr>
              <w:t>Bus</w:t>
            </w:r>
            <w:r>
              <w:rPr>
                <w:b/>
                <w:bCs/>
                <w:color w:val="000000"/>
                <w:szCs w:val="22"/>
              </w:rPr>
              <w:t xml:space="preserve"> Infrastructure</w:t>
            </w:r>
          </w:p>
        </w:tc>
        <w:tc>
          <w:tcPr>
            <w:tcW w:w="1734" w:type="pct"/>
            <w:tcBorders>
              <w:top w:val="nil"/>
              <w:left w:val="nil"/>
              <w:bottom w:val="single" w:sz="4" w:space="0" w:color="auto"/>
              <w:right w:val="single" w:sz="4" w:space="0" w:color="auto"/>
            </w:tcBorders>
            <w:shd w:val="clear" w:color="auto" w:fill="auto"/>
            <w:noWrap/>
            <w:vAlign w:val="bottom"/>
          </w:tcPr>
          <w:p w:rsidR="00FC1390" w:rsidRPr="00323D5D" w:rsidRDefault="00FC1390" w:rsidP="00FC1390">
            <w:pPr>
              <w:spacing w:line="240" w:lineRule="auto"/>
              <w:rPr>
                <w:color w:val="000000"/>
                <w:szCs w:val="22"/>
              </w:rPr>
            </w:pPr>
            <w:r>
              <w:rPr>
                <w:color w:val="000000"/>
                <w:szCs w:val="22"/>
              </w:rPr>
              <w:t xml:space="preserve">Bus Slip </w:t>
            </w:r>
            <w:r w:rsidRPr="00323D5D">
              <w:rPr>
                <w:color w:val="000000"/>
                <w:szCs w:val="22"/>
              </w:rPr>
              <w:t>New Concrete</w:t>
            </w:r>
          </w:p>
        </w:tc>
        <w:tc>
          <w:tcPr>
            <w:tcW w:w="1106" w:type="pct"/>
            <w:tcBorders>
              <w:top w:val="nil"/>
              <w:left w:val="nil"/>
              <w:bottom w:val="single" w:sz="4" w:space="0" w:color="auto"/>
              <w:right w:val="single" w:sz="4" w:space="0" w:color="auto"/>
            </w:tcBorders>
            <w:shd w:val="clear" w:color="auto" w:fill="auto"/>
            <w:noWrap/>
            <w:vAlign w:val="bottom"/>
          </w:tcPr>
          <w:p w:rsidR="00FC1390" w:rsidRPr="00323D5D" w:rsidRDefault="00FC1390" w:rsidP="00FC1390">
            <w:pPr>
              <w:spacing w:line="240" w:lineRule="auto"/>
              <w:jc w:val="center"/>
              <w:rPr>
                <w:color w:val="000000"/>
                <w:szCs w:val="22"/>
              </w:rPr>
            </w:pPr>
            <w:r w:rsidRPr="00323D5D">
              <w:rPr>
                <w:color w:val="000000"/>
                <w:szCs w:val="22"/>
              </w:rPr>
              <w:t>30</w:t>
            </w:r>
          </w:p>
        </w:tc>
        <w:tc>
          <w:tcPr>
            <w:tcW w:w="1339" w:type="pct"/>
            <w:tcBorders>
              <w:top w:val="nil"/>
              <w:left w:val="nil"/>
              <w:bottom w:val="single" w:sz="4" w:space="0" w:color="auto"/>
              <w:right w:val="single" w:sz="4" w:space="0" w:color="auto"/>
            </w:tcBorders>
            <w:shd w:val="clear" w:color="auto" w:fill="auto"/>
            <w:noWrap/>
            <w:vAlign w:val="bottom"/>
          </w:tcPr>
          <w:p w:rsidR="00FC1390" w:rsidRPr="00323D5D" w:rsidRDefault="00FC1390" w:rsidP="00FC1390">
            <w:pPr>
              <w:spacing w:line="240" w:lineRule="auto"/>
              <w:jc w:val="center"/>
              <w:rPr>
                <w:color w:val="000000"/>
                <w:szCs w:val="22"/>
              </w:rPr>
            </w:pPr>
            <w:r>
              <w:rPr>
                <w:color w:val="000000"/>
                <w:szCs w:val="22"/>
              </w:rPr>
              <w:sym w:font="Wingdings" w:char="F0FC"/>
            </w:r>
          </w:p>
        </w:tc>
      </w:tr>
      <w:tr w:rsidR="00FC1390" w:rsidRPr="00323D5D" w:rsidTr="00FC1390">
        <w:trPr>
          <w:trHeight w:val="70"/>
        </w:trPr>
        <w:tc>
          <w:tcPr>
            <w:tcW w:w="821" w:type="pct"/>
            <w:vMerge/>
            <w:tcBorders>
              <w:left w:val="single" w:sz="4" w:space="0" w:color="auto"/>
              <w:bottom w:val="single" w:sz="4" w:space="0" w:color="auto"/>
              <w:right w:val="single" w:sz="4" w:space="0" w:color="auto"/>
            </w:tcBorders>
            <w:vAlign w:val="center"/>
          </w:tcPr>
          <w:p w:rsidR="00FC1390" w:rsidRPr="00323D5D" w:rsidRDefault="00FC1390" w:rsidP="00184258">
            <w:pPr>
              <w:spacing w:line="240" w:lineRule="auto"/>
              <w:rPr>
                <w:b/>
                <w:bCs/>
                <w:color w:val="000000"/>
                <w:szCs w:val="22"/>
              </w:rPr>
            </w:pPr>
          </w:p>
        </w:tc>
        <w:tc>
          <w:tcPr>
            <w:tcW w:w="1734" w:type="pct"/>
            <w:tcBorders>
              <w:top w:val="nil"/>
              <w:left w:val="nil"/>
              <w:bottom w:val="single" w:sz="4" w:space="0" w:color="auto"/>
              <w:right w:val="single" w:sz="4" w:space="0" w:color="auto"/>
            </w:tcBorders>
            <w:shd w:val="clear" w:color="auto" w:fill="auto"/>
            <w:noWrap/>
            <w:vAlign w:val="bottom"/>
          </w:tcPr>
          <w:p w:rsidR="00FC1390" w:rsidRPr="00323D5D" w:rsidRDefault="00FC1390" w:rsidP="00184258">
            <w:pPr>
              <w:spacing w:line="240" w:lineRule="auto"/>
              <w:rPr>
                <w:color w:val="000000"/>
                <w:szCs w:val="22"/>
              </w:rPr>
            </w:pPr>
            <w:r>
              <w:rPr>
                <w:color w:val="000000"/>
                <w:szCs w:val="22"/>
              </w:rPr>
              <w:t xml:space="preserve">Park and Ride Facility </w:t>
            </w:r>
          </w:p>
        </w:tc>
        <w:tc>
          <w:tcPr>
            <w:tcW w:w="1106" w:type="pct"/>
            <w:tcBorders>
              <w:top w:val="nil"/>
              <w:left w:val="nil"/>
              <w:bottom w:val="single" w:sz="4" w:space="0" w:color="auto"/>
              <w:right w:val="single" w:sz="4" w:space="0" w:color="auto"/>
            </w:tcBorders>
            <w:shd w:val="clear" w:color="auto" w:fill="auto"/>
            <w:noWrap/>
            <w:vAlign w:val="bottom"/>
          </w:tcPr>
          <w:p w:rsidR="00FC1390" w:rsidRPr="00323D5D" w:rsidRDefault="00FC1390" w:rsidP="00184258">
            <w:pPr>
              <w:spacing w:line="240" w:lineRule="auto"/>
              <w:jc w:val="center"/>
              <w:rPr>
                <w:color w:val="000000"/>
                <w:szCs w:val="22"/>
              </w:rPr>
            </w:pPr>
            <w:r>
              <w:rPr>
                <w:color w:val="000000"/>
                <w:szCs w:val="22"/>
              </w:rPr>
              <w:t>20</w:t>
            </w:r>
          </w:p>
        </w:tc>
        <w:tc>
          <w:tcPr>
            <w:tcW w:w="1339" w:type="pct"/>
            <w:tcBorders>
              <w:top w:val="nil"/>
              <w:left w:val="nil"/>
              <w:bottom w:val="single" w:sz="4" w:space="0" w:color="auto"/>
              <w:right w:val="single" w:sz="4" w:space="0" w:color="auto"/>
            </w:tcBorders>
            <w:shd w:val="clear" w:color="auto" w:fill="auto"/>
            <w:noWrap/>
            <w:vAlign w:val="bottom"/>
          </w:tcPr>
          <w:p w:rsidR="00FC1390" w:rsidRPr="00323D5D" w:rsidRDefault="00FC1390" w:rsidP="00FC1390">
            <w:pPr>
              <w:spacing w:line="240" w:lineRule="auto"/>
              <w:jc w:val="center"/>
              <w:rPr>
                <w:color w:val="000000"/>
                <w:szCs w:val="22"/>
              </w:rPr>
            </w:pPr>
            <w:r>
              <w:rPr>
                <w:color w:val="000000"/>
                <w:szCs w:val="22"/>
              </w:rPr>
              <w:sym w:font="Wingdings" w:char="F0FC"/>
            </w:r>
          </w:p>
        </w:tc>
      </w:tr>
      <w:tr w:rsidR="00FC1390" w:rsidRPr="00323D5D" w:rsidTr="00FC1390">
        <w:trPr>
          <w:trHeight w:val="288"/>
        </w:trPr>
        <w:tc>
          <w:tcPr>
            <w:tcW w:w="821" w:type="pct"/>
            <w:tcBorders>
              <w:top w:val="nil"/>
              <w:left w:val="single" w:sz="4" w:space="0" w:color="auto"/>
              <w:bottom w:val="single" w:sz="4" w:space="0" w:color="auto"/>
              <w:right w:val="single" w:sz="4" w:space="0" w:color="auto"/>
            </w:tcBorders>
            <w:shd w:val="clear" w:color="auto" w:fill="auto"/>
            <w:noWrap/>
            <w:vAlign w:val="bottom"/>
          </w:tcPr>
          <w:p w:rsidR="00FC1390" w:rsidRPr="00323D5D" w:rsidRDefault="00FC1390" w:rsidP="00184258">
            <w:pPr>
              <w:spacing w:line="240" w:lineRule="auto"/>
              <w:jc w:val="center"/>
              <w:rPr>
                <w:b/>
                <w:bCs/>
                <w:color w:val="000000"/>
                <w:szCs w:val="22"/>
              </w:rPr>
            </w:pPr>
            <w:r>
              <w:rPr>
                <w:b/>
                <w:bCs/>
                <w:color w:val="000000"/>
                <w:szCs w:val="22"/>
              </w:rPr>
              <w:t xml:space="preserve">Bike Trail </w:t>
            </w:r>
          </w:p>
        </w:tc>
        <w:tc>
          <w:tcPr>
            <w:tcW w:w="1734" w:type="pct"/>
            <w:tcBorders>
              <w:top w:val="nil"/>
              <w:left w:val="nil"/>
              <w:bottom w:val="single" w:sz="4" w:space="0" w:color="auto"/>
              <w:right w:val="single" w:sz="4" w:space="0" w:color="auto"/>
            </w:tcBorders>
            <w:shd w:val="clear" w:color="auto" w:fill="auto"/>
            <w:noWrap/>
            <w:vAlign w:val="bottom"/>
          </w:tcPr>
          <w:p w:rsidR="00FC1390" w:rsidRPr="00323D5D" w:rsidRDefault="00FC1390" w:rsidP="00184258">
            <w:pPr>
              <w:spacing w:line="240" w:lineRule="auto"/>
              <w:rPr>
                <w:color w:val="000000"/>
                <w:szCs w:val="22"/>
              </w:rPr>
            </w:pPr>
            <w:r>
              <w:rPr>
                <w:color w:val="000000"/>
                <w:szCs w:val="22"/>
              </w:rPr>
              <w:t xml:space="preserve">Bike Trail </w:t>
            </w:r>
          </w:p>
        </w:tc>
        <w:tc>
          <w:tcPr>
            <w:tcW w:w="1106" w:type="pct"/>
            <w:tcBorders>
              <w:top w:val="nil"/>
              <w:left w:val="nil"/>
              <w:bottom w:val="single" w:sz="4" w:space="0" w:color="auto"/>
              <w:right w:val="single" w:sz="4" w:space="0" w:color="auto"/>
            </w:tcBorders>
            <w:shd w:val="clear" w:color="auto" w:fill="auto"/>
            <w:noWrap/>
            <w:vAlign w:val="bottom"/>
          </w:tcPr>
          <w:p w:rsidR="00FC1390" w:rsidRPr="00323D5D" w:rsidRDefault="00FC1390" w:rsidP="00184258">
            <w:pPr>
              <w:spacing w:line="240" w:lineRule="auto"/>
              <w:jc w:val="center"/>
              <w:rPr>
                <w:color w:val="000000"/>
                <w:szCs w:val="22"/>
              </w:rPr>
            </w:pPr>
            <w:r>
              <w:rPr>
                <w:color w:val="000000"/>
                <w:szCs w:val="22"/>
              </w:rPr>
              <w:t>20</w:t>
            </w:r>
          </w:p>
        </w:tc>
        <w:tc>
          <w:tcPr>
            <w:tcW w:w="1339" w:type="pct"/>
            <w:tcBorders>
              <w:top w:val="nil"/>
              <w:left w:val="nil"/>
              <w:bottom w:val="single" w:sz="4" w:space="0" w:color="auto"/>
              <w:right w:val="single" w:sz="4" w:space="0" w:color="auto"/>
            </w:tcBorders>
            <w:shd w:val="clear" w:color="auto" w:fill="auto"/>
            <w:noWrap/>
            <w:vAlign w:val="bottom"/>
          </w:tcPr>
          <w:p w:rsidR="00FC1390" w:rsidRPr="00323D5D" w:rsidRDefault="00FC1390" w:rsidP="00FC1390">
            <w:pPr>
              <w:spacing w:line="240" w:lineRule="auto"/>
              <w:jc w:val="center"/>
              <w:rPr>
                <w:color w:val="000000"/>
                <w:szCs w:val="22"/>
              </w:rPr>
            </w:pPr>
            <w:r>
              <w:rPr>
                <w:color w:val="000000"/>
                <w:szCs w:val="22"/>
              </w:rPr>
              <w:sym w:font="Wingdings" w:char="F0FC"/>
            </w:r>
          </w:p>
        </w:tc>
      </w:tr>
    </w:tbl>
    <w:p w:rsidR="00023173" w:rsidRPr="006A21C2" w:rsidRDefault="00023173" w:rsidP="00023173">
      <w:pPr>
        <w:pStyle w:val="BodyText"/>
        <w:rPr>
          <w:sz w:val="16"/>
          <w:szCs w:val="16"/>
        </w:rPr>
      </w:pPr>
      <w:r w:rsidRPr="006A21C2">
        <w:rPr>
          <w:sz w:val="16"/>
          <w:szCs w:val="16"/>
        </w:rPr>
        <w:t>Source: Atkins, AECOM</w:t>
      </w:r>
    </w:p>
    <w:p w:rsidR="00541990" w:rsidRDefault="00541990" w:rsidP="00002F3B">
      <w:pPr>
        <w:pStyle w:val="BodyText"/>
      </w:pPr>
    </w:p>
    <w:p w:rsidR="00F3566B" w:rsidRDefault="00F3566B" w:rsidP="00002F3B">
      <w:pPr>
        <w:pStyle w:val="BodyText"/>
      </w:pPr>
    </w:p>
    <w:p w:rsidR="00F3566B" w:rsidRDefault="00F3566B" w:rsidP="00002F3B">
      <w:pPr>
        <w:pStyle w:val="BodyText"/>
      </w:pPr>
    </w:p>
    <w:p w:rsidR="00F3566B" w:rsidRDefault="00F3566B" w:rsidP="00002F3B">
      <w:pPr>
        <w:pStyle w:val="BodyText"/>
      </w:pPr>
    </w:p>
    <w:p w:rsidR="00F3566B" w:rsidRDefault="00F3566B" w:rsidP="00002F3B">
      <w:pPr>
        <w:pStyle w:val="BodyText"/>
      </w:pPr>
    </w:p>
    <w:p w:rsidR="00F3566B" w:rsidRDefault="00F3566B" w:rsidP="00002F3B">
      <w:pPr>
        <w:pStyle w:val="BodyText"/>
      </w:pPr>
    </w:p>
    <w:p w:rsidR="00725049" w:rsidRPr="00323D5D" w:rsidRDefault="00725049" w:rsidP="00323D5D">
      <w:pPr>
        <w:pStyle w:val="Heading1"/>
        <w:rPr>
          <w:rFonts w:ascii="Times New Roman" w:hAnsi="Times New Roman" w:cs="Times New Roman"/>
        </w:rPr>
      </w:pPr>
      <w:bookmarkStart w:id="139" w:name="_Toc448162950"/>
      <w:bookmarkStart w:id="140" w:name="_Toc448163270"/>
      <w:bookmarkStart w:id="141" w:name="_Toc448163590"/>
      <w:bookmarkStart w:id="142" w:name="_Toc448780335"/>
      <w:bookmarkEnd w:id="139"/>
      <w:bookmarkEnd w:id="140"/>
      <w:bookmarkEnd w:id="141"/>
      <w:r w:rsidRPr="00323D5D">
        <w:rPr>
          <w:rFonts w:ascii="Times New Roman" w:hAnsi="Times New Roman" w:cs="Times New Roman"/>
        </w:rPr>
        <w:lastRenderedPageBreak/>
        <w:t>Outcomes</w:t>
      </w:r>
      <w:bookmarkEnd w:id="142"/>
    </w:p>
    <w:p w:rsidR="00D77C36" w:rsidRPr="00323D5D" w:rsidRDefault="00D77C36" w:rsidP="006A21C2">
      <w:pPr>
        <w:pStyle w:val="Heading2"/>
      </w:pPr>
      <w:bookmarkStart w:id="143" w:name="_Toc448780336"/>
      <w:r w:rsidRPr="00323D5D">
        <w:t>Economic Outcomes</w:t>
      </w:r>
      <w:bookmarkEnd w:id="143"/>
    </w:p>
    <w:p w:rsidR="0053062D" w:rsidRPr="00323D5D" w:rsidRDefault="0053062D" w:rsidP="006A21C2">
      <w:pPr>
        <w:pStyle w:val="Heading3"/>
      </w:pPr>
      <w:bookmarkStart w:id="144" w:name="_Toc448780337"/>
      <w:r w:rsidRPr="00323D5D">
        <w:t>Travel Time Savings</w:t>
      </w:r>
      <w:bookmarkEnd w:id="144"/>
      <w:r w:rsidRPr="00323D5D">
        <w:t xml:space="preserve"> </w:t>
      </w:r>
    </w:p>
    <w:p w:rsidR="0053062D" w:rsidRPr="00323D5D" w:rsidRDefault="0053062D" w:rsidP="0053062D">
      <w:pPr>
        <w:pStyle w:val="BodyText"/>
      </w:pPr>
      <w:r w:rsidRPr="00323D5D">
        <w:t xml:space="preserve">Travel time savings estimations were derived from Muller’s 2014 report.  Travel times were estimated for both north- and southbound traffic for the entire length of the assessment corridor.  </w:t>
      </w:r>
      <w:r w:rsidR="0049339C">
        <w:t>Travel time</w:t>
      </w:r>
      <w:r w:rsidRPr="00323D5D">
        <w:t xml:space="preserve"> savings for 2020 and 2030 were interpolated from the 2015 and 2025 estimates; 2040 </w:t>
      </w:r>
      <w:r w:rsidR="0049339C">
        <w:t>travel time</w:t>
      </w:r>
      <w:r w:rsidRPr="00323D5D">
        <w:t xml:space="preserve"> savings were extrapolated from 2035 data.  Table </w:t>
      </w:r>
      <w:r w:rsidR="00F63E8F">
        <w:t>1</w:t>
      </w:r>
      <w:r w:rsidR="00F3566B">
        <w:t>8</w:t>
      </w:r>
      <w:r w:rsidR="00F63E8F" w:rsidRPr="00323D5D">
        <w:t xml:space="preserve"> </w:t>
      </w:r>
      <w:r w:rsidRPr="00323D5D">
        <w:t xml:space="preserve">provides an overview of the travel times and the time savings across the assessment period by direction of travel. </w:t>
      </w:r>
      <w:r w:rsidR="00F63E8F">
        <w:t>The difference in forecast travel time between the two scenarios form the basis from which all travel time and operating savings are determined.</w:t>
      </w:r>
    </w:p>
    <w:p w:rsidR="0053062D" w:rsidRPr="00323D5D" w:rsidRDefault="0053062D" w:rsidP="0053062D">
      <w:pPr>
        <w:pStyle w:val="BodyText"/>
        <w:spacing w:after="0"/>
        <w:jc w:val="center"/>
        <w:rPr>
          <w:b/>
          <w:sz w:val="18"/>
          <w:szCs w:val="18"/>
        </w:rPr>
      </w:pPr>
      <w:r w:rsidRPr="00323D5D">
        <w:rPr>
          <w:b/>
          <w:sz w:val="18"/>
          <w:szCs w:val="18"/>
        </w:rPr>
        <w:t xml:space="preserve">Table </w:t>
      </w:r>
      <w:r w:rsidR="00F63E8F">
        <w:rPr>
          <w:b/>
          <w:sz w:val="18"/>
          <w:szCs w:val="18"/>
        </w:rPr>
        <w:t>1</w:t>
      </w:r>
      <w:r w:rsidR="00F3566B">
        <w:rPr>
          <w:b/>
          <w:sz w:val="18"/>
          <w:szCs w:val="18"/>
        </w:rPr>
        <w:t>8</w:t>
      </w:r>
      <w:r w:rsidRPr="00323D5D">
        <w:rPr>
          <w:b/>
          <w:sz w:val="18"/>
          <w:szCs w:val="18"/>
        </w:rPr>
        <w:t>: Travel Times and Savings</w:t>
      </w:r>
      <w:r w:rsidR="00F63E8F">
        <w:rPr>
          <w:b/>
          <w:sz w:val="18"/>
          <w:szCs w:val="18"/>
        </w:rPr>
        <w:t xml:space="preserve"> </w:t>
      </w:r>
      <w:proofErr w:type="gramStart"/>
      <w:r w:rsidR="00F63E8F">
        <w:rPr>
          <w:b/>
          <w:sz w:val="18"/>
          <w:szCs w:val="18"/>
        </w:rPr>
        <w:t>During</w:t>
      </w:r>
      <w:proofErr w:type="gramEnd"/>
      <w:r w:rsidR="00F63E8F">
        <w:rPr>
          <w:b/>
          <w:sz w:val="18"/>
          <w:szCs w:val="18"/>
        </w:rPr>
        <w:t xml:space="preserve"> Peak and Shoulder Periods</w:t>
      </w:r>
      <w:r w:rsidRPr="00323D5D">
        <w:rPr>
          <w:b/>
          <w:sz w:val="18"/>
          <w:szCs w:val="18"/>
        </w:rPr>
        <w:t xml:space="preserve"> (2020-2040)</w:t>
      </w:r>
    </w:p>
    <w:tbl>
      <w:tblPr>
        <w:tblW w:w="5000" w:type="pct"/>
        <w:tblLayout w:type="fixed"/>
        <w:tblLook w:val="04A0" w:firstRow="1" w:lastRow="0" w:firstColumn="1" w:lastColumn="0" w:noHBand="0" w:noVBand="1"/>
      </w:tblPr>
      <w:tblGrid>
        <w:gridCol w:w="1242"/>
        <w:gridCol w:w="1173"/>
        <w:gridCol w:w="717"/>
        <w:gridCol w:w="718"/>
        <w:gridCol w:w="716"/>
        <w:gridCol w:w="718"/>
        <w:gridCol w:w="716"/>
        <w:gridCol w:w="716"/>
        <w:gridCol w:w="716"/>
        <w:gridCol w:w="716"/>
        <w:gridCol w:w="716"/>
        <w:gridCol w:w="712"/>
      </w:tblGrid>
      <w:tr w:rsidR="0053062D" w:rsidRPr="00323D5D" w:rsidTr="006A21C2">
        <w:trPr>
          <w:trHeight w:val="288"/>
        </w:trPr>
        <w:tc>
          <w:tcPr>
            <w:tcW w:w="126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 </w:t>
            </w:r>
          </w:p>
        </w:tc>
        <w:tc>
          <w:tcPr>
            <w:tcW w:w="749" w:type="pct"/>
            <w:gridSpan w:val="2"/>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bCs/>
                <w:color w:val="000000"/>
                <w:szCs w:val="22"/>
              </w:rPr>
            </w:pPr>
            <w:r w:rsidRPr="00541990">
              <w:rPr>
                <w:b/>
                <w:bCs/>
                <w:color w:val="000000"/>
                <w:szCs w:val="22"/>
              </w:rPr>
              <w:t>2020</w:t>
            </w:r>
          </w:p>
        </w:tc>
        <w:tc>
          <w:tcPr>
            <w:tcW w:w="749" w:type="pct"/>
            <w:gridSpan w:val="2"/>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bCs/>
                <w:color w:val="000000"/>
                <w:szCs w:val="22"/>
              </w:rPr>
            </w:pPr>
            <w:r w:rsidRPr="00541990">
              <w:rPr>
                <w:b/>
                <w:bCs/>
                <w:color w:val="000000"/>
                <w:szCs w:val="22"/>
              </w:rPr>
              <w:t>2025</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bCs/>
                <w:color w:val="000000"/>
                <w:szCs w:val="22"/>
              </w:rPr>
            </w:pPr>
            <w:r w:rsidRPr="00541990">
              <w:rPr>
                <w:b/>
                <w:bCs/>
                <w:color w:val="000000"/>
                <w:szCs w:val="22"/>
              </w:rPr>
              <w:t>2030</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bCs/>
                <w:color w:val="000000"/>
                <w:szCs w:val="22"/>
              </w:rPr>
            </w:pPr>
            <w:r w:rsidRPr="00541990">
              <w:rPr>
                <w:b/>
                <w:bCs/>
                <w:color w:val="000000"/>
                <w:szCs w:val="22"/>
              </w:rPr>
              <w:t>2035</w:t>
            </w:r>
          </w:p>
        </w:tc>
        <w:tc>
          <w:tcPr>
            <w:tcW w:w="746" w:type="pct"/>
            <w:gridSpan w:val="2"/>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bCs/>
                <w:color w:val="000000"/>
                <w:szCs w:val="22"/>
              </w:rPr>
            </w:pPr>
            <w:r w:rsidRPr="00541990">
              <w:rPr>
                <w:b/>
                <w:bCs/>
                <w:color w:val="000000"/>
                <w:szCs w:val="22"/>
              </w:rPr>
              <w:t>2040</w:t>
            </w:r>
          </w:p>
        </w:tc>
      </w:tr>
      <w:tr w:rsidR="0053062D" w:rsidRPr="00323D5D" w:rsidTr="006A21C2">
        <w:trPr>
          <w:trHeight w:val="288"/>
        </w:trPr>
        <w:tc>
          <w:tcPr>
            <w:tcW w:w="1260" w:type="pct"/>
            <w:gridSpan w:val="2"/>
            <w:vMerge/>
            <w:tcBorders>
              <w:top w:val="single" w:sz="4" w:space="0" w:color="auto"/>
              <w:left w:val="single" w:sz="4" w:space="0" w:color="auto"/>
              <w:bottom w:val="single" w:sz="4" w:space="0" w:color="000000"/>
              <w:right w:val="single" w:sz="4" w:space="0" w:color="000000"/>
            </w:tcBorders>
            <w:vAlign w:val="center"/>
            <w:hideMark/>
          </w:tcPr>
          <w:p w:rsidR="0053062D" w:rsidRPr="00541990" w:rsidRDefault="0053062D" w:rsidP="00B42503">
            <w:pPr>
              <w:spacing w:line="240" w:lineRule="auto"/>
              <w:rPr>
                <w:color w:val="000000"/>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NB</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NB</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NB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NB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SB</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NB</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color w:val="000000"/>
                <w:szCs w:val="22"/>
              </w:rPr>
            </w:pPr>
            <w:r w:rsidRPr="00541990">
              <w:rPr>
                <w:color w:val="000000"/>
                <w:szCs w:val="22"/>
              </w:rPr>
              <w:t>SB</w:t>
            </w:r>
          </w:p>
        </w:tc>
      </w:tr>
      <w:tr w:rsidR="0053062D" w:rsidRPr="00323D5D" w:rsidTr="006A21C2">
        <w:trPr>
          <w:trHeight w:val="288"/>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rPr>
                <w:b/>
                <w:bCs/>
                <w:color w:val="000000"/>
                <w:szCs w:val="22"/>
              </w:rPr>
            </w:pPr>
            <w:r w:rsidRPr="00541990">
              <w:rPr>
                <w:b/>
                <w:bCs/>
                <w:color w:val="000000"/>
                <w:szCs w:val="22"/>
              </w:rPr>
              <w:t>Scenario</w:t>
            </w: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rPr>
                <w:b/>
                <w:bCs/>
                <w:color w:val="000000"/>
                <w:szCs w:val="22"/>
              </w:rPr>
            </w:pPr>
            <w:r w:rsidRPr="00541990">
              <w:rPr>
                <w:b/>
                <w:bCs/>
                <w:color w:val="000000"/>
                <w:szCs w:val="22"/>
              </w:rPr>
              <w:t>Lane Type</w:t>
            </w:r>
          </w:p>
        </w:tc>
        <w:tc>
          <w:tcPr>
            <w:tcW w:w="3740" w:type="pct"/>
            <w:gridSpan w:val="10"/>
            <w:tcBorders>
              <w:top w:val="single" w:sz="4" w:space="0" w:color="auto"/>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center"/>
              <w:rPr>
                <w:b/>
                <w:color w:val="000000"/>
                <w:szCs w:val="22"/>
              </w:rPr>
            </w:pPr>
            <w:r w:rsidRPr="00541990">
              <w:rPr>
                <w:b/>
                <w:color w:val="000000"/>
                <w:szCs w:val="22"/>
              </w:rPr>
              <w:t>Travel Time for Corridor (Minutes)</w:t>
            </w:r>
          </w:p>
        </w:tc>
      </w:tr>
      <w:tr w:rsidR="0053062D" w:rsidRPr="00323D5D" w:rsidTr="006A21C2">
        <w:trPr>
          <w:trHeight w:val="288"/>
        </w:trPr>
        <w:tc>
          <w:tcPr>
            <w:tcW w:w="648" w:type="pct"/>
            <w:tcBorders>
              <w:top w:val="nil"/>
              <w:left w:val="single" w:sz="4" w:space="0" w:color="auto"/>
              <w:bottom w:val="single" w:sz="4" w:space="0" w:color="000000"/>
              <w:right w:val="single" w:sz="4" w:space="0" w:color="auto"/>
            </w:tcBorders>
            <w:shd w:val="clear" w:color="auto" w:fill="auto"/>
            <w:noWrap/>
            <w:vAlign w:val="center"/>
            <w:hideMark/>
          </w:tcPr>
          <w:p w:rsidR="0053062D" w:rsidRPr="00541990" w:rsidRDefault="0053062D" w:rsidP="00B42503">
            <w:pPr>
              <w:spacing w:line="240" w:lineRule="auto"/>
              <w:jc w:val="center"/>
              <w:rPr>
                <w:color w:val="000000"/>
                <w:szCs w:val="22"/>
              </w:rPr>
            </w:pPr>
            <w:r w:rsidRPr="00541990">
              <w:rPr>
                <w:color w:val="000000"/>
                <w:szCs w:val="22"/>
              </w:rPr>
              <w:t>Baseline</w:t>
            </w: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rPr>
                <w:color w:val="000000"/>
                <w:szCs w:val="22"/>
              </w:rPr>
            </w:pPr>
            <w:r w:rsidRPr="00541990">
              <w:rPr>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18.7</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16.3</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20.4</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17.7</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22.2</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17.2</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22.7</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17.6</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23.3</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18.9</w:t>
            </w:r>
          </w:p>
        </w:tc>
      </w:tr>
      <w:tr w:rsidR="0053062D" w:rsidRPr="00323D5D" w:rsidTr="006A21C2">
        <w:trPr>
          <w:trHeight w:val="288"/>
        </w:trPr>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3062D" w:rsidRPr="00541990" w:rsidRDefault="0053062D" w:rsidP="00B42503">
            <w:pPr>
              <w:spacing w:line="240" w:lineRule="auto"/>
              <w:jc w:val="center"/>
              <w:rPr>
                <w:color w:val="000000"/>
                <w:szCs w:val="22"/>
              </w:rPr>
            </w:pPr>
            <w:r w:rsidRPr="00541990">
              <w:rPr>
                <w:color w:val="000000"/>
                <w:szCs w:val="22"/>
              </w:rPr>
              <w:t>Build</w:t>
            </w: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rPr>
                <w:color w:val="000000"/>
                <w:szCs w:val="22"/>
              </w:rPr>
            </w:pPr>
            <w:r w:rsidRPr="00541990">
              <w:rPr>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17.0</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15.8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18.6</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17.2</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17.4</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16.4</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16.8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21.6</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17.0</w:t>
            </w:r>
          </w:p>
        </w:tc>
      </w:tr>
      <w:tr w:rsidR="0053062D" w:rsidRPr="00323D5D" w:rsidTr="006A21C2">
        <w:trPr>
          <w:trHeight w:val="288"/>
        </w:trPr>
        <w:tc>
          <w:tcPr>
            <w:tcW w:w="648" w:type="pct"/>
            <w:vMerge/>
            <w:tcBorders>
              <w:top w:val="nil"/>
              <w:left w:val="single" w:sz="4" w:space="0" w:color="auto"/>
              <w:bottom w:val="single" w:sz="4" w:space="0" w:color="000000"/>
              <w:right w:val="single" w:sz="4" w:space="0" w:color="auto"/>
            </w:tcBorders>
            <w:vAlign w:val="center"/>
            <w:hideMark/>
          </w:tcPr>
          <w:p w:rsidR="0053062D" w:rsidRPr="00541990" w:rsidRDefault="0053062D" w:rsidP="00B42503">
            <w:pPr>
              <w:spacing w:line="240" w:lineRule="auto"/>
              <w:rPr>
                <w:color w:val="000000"/>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rPr>
                <w:color w:val="000000"/>
                <w:szCs w:val="22"/>
              </w:rPr>
            </w:pPr>
            <w:r w:rsidRPr="00541990">
              <w:rPr>
                <w:color w:val="000000"/>
                <w:szCs w:val="22"/>
              </w:rPr>
              <w:t>Managed Lane</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13.9</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13.7</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15.2</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14.9</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14.1</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13.9</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14.5</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14.2</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15.2</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color w:val="000000"/>
                <w:szCs w:val="22"/>
              </w:rPr>
            </w:pPr>
            <w:r w:rsidRPr="00541990">
              <w:rPr>
                <w:color w:val="000000"/>
                <w:szCs w:val="22"/>
              </w:rPr>
              <w:t>14.1</w:t>
            </w:r>
          </w:p>
        </w:tc>
      </w:tr>
      <w:tr w:rsidR="0053062D" w:rsidRPr="00323D5D" w:rsidTr="006A21C2">
        <w:trPr>
          <w:trHeight w:val="288"/>
        </w:trPr>
        <w:tc>
          <w:tcPr>
            <w:tcW w:w="648" w:type="pct"/>
            <w:vMerge w:val="restart"/>
            <w:tcBorders>
              <w:top w:val="nil"/>
              <w:left w:val="single" w:sz="4" w:space="0" w:color="auto"/>
              <w:right w:val="single" w:sz="4" w:space="0" w:color="auto"/>
            </w:tcBorders>
            <w:shd w:val="clear" w:color="auto" w:fill="auto"/>
            <w:noWrap/>
            <w:vAlign w:val="center"/>
            <w:hideMark/>
          </w:tcPr>
          <w:p w:rsidR="0053062D" w:rsidRPr="006A21C2" w:rsidRDefault="0053062D" w:rsidP="006A21C2">
            <w:pPr>
              <w:spacing w:line="240" w:lineRule="auto"/>
              <w:jc w:val="center"/>
              <w:rPr>
                <w:bCs/>
                <w:color w:val="000000"/>
                <w:szCs w:val="22"/>
              </w:rPr>
            </w:pPr>
            <w:r w:rsidRPr="006A21C2">
              <w:rPr>
                <w:bCs/>
                <w:color w:val="000000"/>
                <w:szCs w:val="22"/>
              </w:rPr>
              <w:t>Travel Time Savings</w:t>
            </w: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6A21C2" w:rsidRDefault="0053062D" w:rsidP="00B42503">
            <w:pPr>
              <w:spacing w:line="240" w:lineRule="auto"/>
              <w:rPr>
                <w:bCs/>
                <w:color w:val="000000"/>
                <w:szCs w:val="22"/>
              </w:rPr>
            </w:pPr>
            <w:r w:rsidRPr="006A21C2">
              <w:rPr>
                <w:bCs/>
                <w:color w:val="000000"/>
                <w:szCs w:val="22"/>
              </w:rPr>
              <w:t>GP Lane</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1.6</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0.5</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1.8</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0.5</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4.8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0.8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4.9</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0.8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1.7</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1.9</w:t>
            </w:r>
          </w:p>
        </w:tc>
      </w:tr>
      <w:tr w:rsidR="0053062D" w:rsidRPr="00323D5D" w:rsidTr="006A21C2">
        <w:trPr>
          <w:trHeight w:val="79"/>
        </w:trPr>
        <w:tc>
          <w:tcPr>
            <w:tcW w:w="648" w:type="pct"/>
            <w:vMerge/>
            <w:tcBorders>
              <w:left w:val="single" w:sz="4" w:space="0" w:color="auto"/>
              <w:bottom w:val="single" w:sz="4" w:space="0" w:color="auto"/>
              <w:right w:val="single" w:sz="4" w:space="0" w:color="auto"/>
            </w:tcBorders>
            <w:shd w:val="clear" w:color="auto" w:fill="auto"/>
            <w:noWrap/>
            <w:vAlign w:val="bottom"/>
            <w:hideMark/>
          </w:tcPr>
          <w:p w:rsidR="0053062D" w:rsidRPr="006A21C2" w:rsidRDefault="0053062D" w:rsidP="00B42503">
            <w:pPr>
              <w:spacing w:line="240" w:lineRule="auto"/>
              <w:rPr>
                <w:bCs/>
                <w:color w:val="000000"/>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53062D" w:rsidRPr="006A21C2" w:rsidRDefault="0053062D" w:rsidP="00B42503">
            <w:pPr>
              <w:spacing w:line="240" w:lineRule="auto"/>
              <w:rPr>
                <w:bCs/>
                <w:color w:val="000000"/>
                <w:szCs w:val="22"/>
              </w:rPr>
            </w:pPr>
            <w:r w:rsidRPr="006A21C2">
              <w:rPr>
                <w:bCs/>
                <w:color w:val="000000"/>
                <w:szCs w:val="22"/>
              </w:rPr>
              <w:t>Managed Lane</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4.8</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2.6</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5.2</w:t>
            </w:r>
          </w:p>
        </w:tc>
        <w:tc>
          <w:tcPr>
            <w:tcW w:w="375"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2.8</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8.0</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3.3</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8.2</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8.1</w:t>
            </w:r>
          </w:p>
        </w:tc>
        <w:tc>
          <w:tcPr>
            <w:tcW w:w="372" w:type="pct"/>
            <w:tcBorders>
              <w:top w:val="nil"/>
              <w:left w:val="nil"/>
              <w:bottom w:val="single" w:sz="4" w:space="0" w:color="auto"/>
              <w:right w:val="single" w:sz="4" w:space="0" w:color="auto"/>
            </w:tcBorders>
            <w:shd w:val="clear" w:color="auto" w:fill="auto"/>
            <w:noWrap/>
            <w:vAlign w:val="bottom"/>
            <w:hideMark/>
          </w:tcPr>
          <w:p w:rsidR="0053062D" w:rsidRPr="00541990" w:rsidRDefault="0053062D" w:rsidP="00B42503">
            <w:pPr>
              <w:spacing w:line="240" w:lineRule="auto"/>
              <w:jc w:val="right"/>
              <w:rPr>
                <w:bCs/>
                <w:color w:val="000000"/>
                <w:szCs w:val="22"/>
              </w:rPr>
            </w:pPr>
            <w:r w:rsidRPr="00541990">
              <w:rPr>
                <w:bCs/>
                <w:color w:val="000000"/>
                <w:szCs w:val="22"/>
              </w:rPr>
              <w:t>4.8</w:t>
            </w:r>
          </w:p>
        </w:tc>
      </w:tr>
    </w:tbl>
    <w:p w:rsidR="0053062D" w:rsidRPr="006A21C2" w:rsidRDefault="0053062D" w:rsidP="0053062D">
      <w:pPr>
        <w:pStyle w:val="BodyText"/>
        <w:rPr>
          <w:sz w:val="16"/>
          <w:szCs w:val="16"/>
        </w:rPr>
      </w:pPr>
      <w:r w:rsidRPr="006A21C2">
        <w:rPr>
          <w:sz w:val="16"/>
          <w:szCs w:val="16"/>
        </w:rPr>
        <w:t>Source: Muller (2014), AECOM</w:t>
      </w:r>
    </w:p>
    <w:p w:rsidR="003357C9" w:rsidRPr="00323D5D" w:rsidRDefault="003357C9" w:rsidP="006A21C2">
      <w:pPr>
        <w:pStyle w:val="Heading4"/>
      </w:pPr>
      <w:bookmarkStart w:id="145" w:name="_Toc448780338"/>
      <w:r w:rsidRPr="00323D5D">
        <w:t>Travel Time Savings – Personal Vehicles</w:t>
      </w:r>
      <w:r w:rsidR="0003411C" w:rsidRPr="00323D5D">
        <w:t xml:space="preserve"> and Passengers</w:t>
      </w:r>
      <w:bookmarkEnd w:id="145"/>
    </w:p>
    <w:p w:rsidR="003357C9" w:rsidRDefault="000F2B19" w:rsidP="003357C9">
      <w:pPr>
        <w:pStyle w:val="BodyText"/>
      </w:pPr>
      <w:r w:rsidRPr="00323D5D">
        <w:t xml:space="preserve">Travel time savings for personal were calculated by applying total traffic volumes (less commercial trucks) to the </w:t>
      </w:r>
      <w:r w:rsidR="001261CE" w:rsidRPr="00323D5D">
        <w:t xml:space="preserve">reduction in </w:t>
      </w:r>
      <w:r w:rsidRPr="00323D5D">
        <w:t xml:space="preserve">travel time </w:t>
      </w:r>
      <w:r w:rsidR="001261CE" w:rsidRPr="00323D5D">
        <w:t xml:space="preserve">for both general purpose and managed lanes </w:t>
      </w:r>
      <w:r w:rsidRPr="00323D5D">
        <w:t xml:space="preserve">for </w:t>
      </w:r>
      <w:r w:rsidR="00F63E8F">
        <w:t xml:space="preserve">during peak and shoulder periods in </w:t>
      </w:r>
      <w:r w:rsidRPr="00323D5D">
        <w:t>the build scenario.  Time savings per vehicle were then applied to the benchmarked average vehicle occupancy assumptio</w:t>
      </w:r>
      <w:r w:rsidR="001261CE" w:rsidRPr="00323D5D">
        <w:t>n to determine the total travel time reduction</w:t>
      </w:r>
      <w:r w:rsidRPr="00323D5D">
        <w:t>.  Th</w:t>
      </w:r>
      <w:r w:rsidR="001261CE" w:rsidRPr="00323D5D">
        <w:t xml:space="preserve">is </w:t>
      </w:r>
      <w:r w:rsidRPr="00323D5D">
        <w:t xml:space="preserve">total travel time </w:t>
      </w:r>
      <w:r w:rsidR="001261CE" w:rsidRPr="00323D5D">
        <w:t xml:space="preserve">reduction </w:t>
      </w:r>
      <w:r w:rsidRPr="00323D5D">
        <w:t>w</w:t>
      </w:r>
      <w:r w:rsidR="001261CE" w:rsidRPr="00323D5D">
        <w:t>as</w:t>
      </w:r>
      <w:r w:rsidRPr="00323D5D">
        <w:t xml:space="preserve"> then used to determine </w:t>
      </w:r>
      <w:r w:rsidR="001261CE" w:rsidRPr="00323D5D">
        <w:t xml:space="preserve">the travel time savings, </w:t>
      </w:r>
      <w:r w:rsidRPr="00323D5D">
        <w:t>emission</w:t>
      </w:r>
      <w:r w:rsidR="001261CE" w:rsidRPr="00323D5D">
        <w:t>s</w:t>
      </w:r>
      <w:r w:rsidRPr="00323D5D">
        <w:t xml:space="preserve"> </w:t>
      </w:r>
      <w:r w:rsidR="001261CE" w:rsidRPr="00323D5D">
        <w:t xml:space="preserve">reductions and </w:t>
      </w:r>
      <w:r w:rsidRPr="00323D5D">
        <w:t>vehicle operating savings</w:t>
      </w:r>
      <w:r w:rsidR="001261CE" w:rsidRPr="00323D5D">
        <w:t>.</w:t>
      </w:r>
      <w:r w:rsidRPr="00323D5D">
        <w:t xml:space="preserve"> An overview of the </w:t>
      </w:r>
      <w:r w:rsidR="001261CE" w:rsidRPr="00323D5D">
        <w:t xml:space="preserve">personal vehicle and passenger travel time reduction </w:t>
      </w:r>
      <w:r w:rsidRPr="00323D5D">
        <w:t xml:space="preserve">resulting from the implementation of the </w:t>
      </w:r>
      <w:r w:rsidR="003B3E40">
        <w:t>I-25 Project</w:t>
      </w:r>
      <w:r w:rsidRPr="00323D5D">
        <w:t xml:space="preserve"> is shown in Table </w:t>
      </w:r>
      <w:r w:rsidR="00F3566B">
        <w:t>19</w:t>
      </w:r>
      <w:r w:rsidR="001261CE" w:rsidRPr="00323D5D">
        <w:t>.</w:t>
      </w:r>
    </w:p>
    <w:p w:rsidR="00160EDE" w:rsidRDefault="00160EDE" w:rsidP="003357C9">
      <w:pPr>
        <w:pStyle w:val="BodyText"/>
      </w:pPr>
    </w:p>
    <w:p w:rsidR="00160EDE" w:rsidRDefault="00160EDE" w:rsidP="003357C9">
      <w:pPr>
        <w:pStyle w:val="BodyText"/>
      </w:pPr>
    </w:p>
    <w:p w:rsidR="00160EDE" w:rsidRDefault="00160EDE" w:rsidP="003357C9">
      <w:pPr>
        <w:pStyle w:val="BodyText"/>
      </w:pPr>
    </w:p>
    <w:p w:rsidR="00160EDE" w:rsidRDefault="00160EDE" w:rsidP="003357C9">
      <w:pPr>
        <w:pStyle w:val="BodyText"/>
      </w:pPr>
    </w:p>
    <w:p w:rsidR="00160EDE" w:rsidRDefault="00160EDE" w:rsidP="003357C9">
      <w:pPr>
        <w:pStyle w:val="BodyText"/>
      </w:pPr>
    </w:p>
    <w:p w:rsidR="00160EDE" w:rsidRDefault="00160EDE" w:rsidP="003357C9">
      <w:pPr>
        <w:pStyle w:val="BodyText"/>
      </w:pPr>
    </w:p>
    <w:p w:rsidR="00160EDE" w:rsidRPr="00323D5D" w:rsidRDefault="00160EDE" w:rsidP="003357C9">
      <w:pPr>
        <w:pStyle w:val="BodyText"/>
      </w:pPr>
    </w:p>
    <w:p w:rsidR="001261CE" w:rsidRDefault="001261CE" w:rsidP="001261CE">
      <w:pPr>
        <w:pStyle w:val="BodyText"/>
        <w:spacing w:after="0"/>
        <w:jc w:val="center"/>
        <w:rPr>
          <w:b/>
          <w:sz w:val="18"/>
          <w:szCs w:val="18"/>
        </w:rPr>
      </w:pPr>
      <w:r w:rsidRPr="00323D5D">
        <w:rPr>
          <w:b/>
          <w:sz w:val="18"/>
          <w:szCs w:val="18"/>
        </w:rPr>
        <w:t xml:space="preserve">Table </w:t>
      </w:r>
      <w:r w:rsidR="00F3566B">
        <w:rPr>
          <w:b/>
          <w:sz w:val="18"/>
          <w:szCs w:val="18"/>
        </w:rPr>
        <w:t>19</w:t>
      </w:r>
      <w:r w:rsidRPr="00323D5D">
        <w:rPr>
          <w:b/>
          <w:sz w:val="18"/>
          <w:szCs w:val="18"/>
        </w:rPr>
        <w:t>: Travel Times and Savings – Personal Vehicles (2021-2040)</w:t>
      </w:r>
    </w:p>
    <w:tbl>
      <w:tblPr>
        <w:tblW w:w="4869" w:type="pct"/>
        <w:tblLayout w:type="fixed"/>
        <w:tblLook w:val="04A0" w:firstRow="1" w:lastRow="0" w:firstColumn="1" w:lastColumn="0" w:noHBand="0" w:noVBand="1"/>
      </w:tblPr>
      <w:tblGrid>
        <w:gridCol w:w="2808"/>
        <w:gridCol w:w="1040"/>
        <w:gridCol w:w="1041"/>
        <w:gridCol w:w="1041"/>
        <w:gridCol w:w="1041"/>
        <w:gridCol w:w="1041"/>
        <w:gridCol w:w="1313"/>
      </w:tblGrid>
      <w:tr w:rsidR="00F94FC0" w:rsidRPr="00F906CF" w:rsidTr="00F94FC0">
        <w:trPr>
          <w:trHeight w:val="288"/>
        </w:trPr>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rFonts w:ascii="Times" w:hAnsi="Times"/>
                <w:color w:val="000000"/>
                <w:szCs w:val="22"/>
              </w:rPr>
            </w:pPr>
            <w:r w:rsidRPr="00F906CF">
              <w:rPr>
                <w:rFonts w:ascii="Times" w:hAnsi="Times"/>
                <w:color w:val="000000"/>
                <w:szCs w:val="22"/>
              </w:rPr>
              <w:t> </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2021</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2025</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2030</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2035</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2040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center"/>
              <w:rPr>
                <w:rFonts w:ascii="Times" w:hAnsi="Times"/>
                <w:b/>
                <w:bCs/>
                <w:color w:val="000000"/>
                <w:szCs w:val="22"/>
              </w:rPr>
            </w:pPr>
            <w:r w:rsidRPr="00F906CF">
              <w:rPr>
                <w:rFonts w:ascii="Times" w:hAnsi="Times"/>
                <w:b/>
                <w:bCs/>
                <w:color w:val="000000"/>
                <w:szCs w:val="22"/>
              </w:rPr>
              <w:t xml:space="preserve">Total </w:t>
            </w:r>
          </w:p>
        </w:tc>
      </w:tr>
      <w:tr w:rsidR="00F94FC0" w:rsidRPr="00F906CF" w:rsidTr="00F94FC0">
        <w:trPr>
          <w:trHeight w:val="564"/>
        </w:trPr>
        <w:tc>
          <w:tcPr>
            <w:tcW w:w="1506" w:type="pct"/>
            <w:tcBorders>
              <w:top w:val="nil"/>
              <w:left w:val="single" w:sz="4" w:space="0" w:color="auto"/>
              <w:bottom w:val="single" w:sz="4" w:space="0" w:color="auto"/>
              <w:right w:val="single" w:sz="4" w:space="0" w:color="auto"/>
            </w:tcBorders>
            <w:shd w:val="clear" w:color="auto" w:fill="auto"/>
            <w:vAlign w:val="center"/>
            <w:hideMark/>
          </w:tcPr>
          <w:p w:rsidR="00F94FC0" w:rsidRPr="00F94FC0" w:rsidRDefault="00F94FC0" w:rsidP="00F906CF">
            <w:pPr>
              <w:spacing w:line="240" w:lineRule="auto"/>
              <w:rPr>
                <w:color w:val="000000"/>
                <w:szCs w:val="22"/>
              </w:rPr>
            </w:pPr>
            <w:r w:rsidRPr="00F94FC0">
              <w:rPr>
                <w:color w:val="000000"/>
                <w:szCs w:val="22"/>
              </w:rPr>
              <w:t>Annual Reduction in Travel Time  - General Purpose Lanes</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74,145</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99,497</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143,449</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189,717</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222,581</w:t>
            </w:r>
          </w:p>
        </w:tc>
        <w:tc>
          <w:tcPr>
            <w:tcW w:w="706"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2,967,232</w:t>
            </w:r>
          </w:p>
        </w:tc>
      </w:tr>
      <w:tr w:rsidR="00F94FC0" w:rsidRPr="00F906CF" w:rsidTr="00F94FC0">
        <w:trPr>
          <w:trHeight w:val="564"/>
        </w:trPr>
        <w:tc>
          <w:tcPr>
            <w:tcW w:w="1506" w:type="pct"/>
            <w:tcBorders>
              <w:top w:val="nil"/>
              <w:left w:val="single" w:sz="4" w:space="0" w:color="auto"/>
              <w:bottom w:val="single" w:sz="4" w:space="0" w:color="auto"/>
              <w:right w:val="single" w:sz="4" w:space="0" w:color="auto"/>
            </w:tcBorders>
            <w:shd w:val="clear" w:color="auto" w:fill="auto"/>
            <w:vAlign w:val="center"/>
            <w:hideMark/>
          </w:tcPr>
          <w:p w:rsidR="00F94FC0" w:rsidRPr="00F94FC0" w:rsidRDefault="00F94FC0" w:rsidP="00F906CF">
            <w:pPr>
              <w:spacing w:line="240" w:lineRule="auto"/>
              <w:rPr>
                <w:color w:val="000000"/>
                <w:szCs w:val="22"/>
              </w:rPr>
            </w:pPr>
            <w:r w:rsidRPr="00F94FC0">
              <w:rPr>
                <w:color w:val="000000"/>
                <w:szCs w:val="22"/>
              </w:rPr>
              <w:t>Annual Reduction in Travel Time - Managed Lanes</w:t>
            </w:r>
            <w:r w:rsidRPr="00F94FC0">
              <w:rPr>
                <w:color w:val="000000"/>
                <w:sz w:val="16"/>
                <w:szCs w:val="16"/>
              </w:rPr>
              <w:t>  </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334,613</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473,957</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485,035</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444,722</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393,561</w:t>
            </w:r>
          </w:p>
        </w:tc>
        <w:tc>
          <w:tcPr>
            <w:tcW w:w="706"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8,890,746</w:t>
            </w:r>
          </w:p>
        </w:tc>
      </w:tr>
      <w:tr w:rsidR="00F94FC0" w:rsidRPr="00F906CF" w:rsidTr="00F94FC0">
        <w:trPr>
          <w:trHeight w:val="564"/>
        </w:trPr>
        <w:tc>
          <w:tcPr>
            <w:tcW w:w="1506" w:type="pct"/>
            <w:tcBorders>
              <w:top w:val="nil"/>
              <w:left w:val="single" w:sz="4" w:space="0" w:color="auto"/>
              <w:bottom w:val="single" w:sz="4" w:space="0" w:color="auto"/>
              <w:right w:val="single" w:sz="4" w:space="0" w:color="auto"/>
            </w:tcBorders>
            <w:shd w:val="clear" w:color="auto" w:fill="auto"/>
            <w:vAlign w:val="center"/>
            <w:hideMark/>
          </w:tcPr>
          <w:p w:rsidR="00F94FC0" w:rsidRPr="00F94FC0" w:rsidRDefault="00F94FC0" w:rsidP="00F906CF">
            <w:pPr>
              <w:spacing w:line="240" w:lineRule="auto"/>
              <w:rPr>
                <w:color w:val="000000"/>
                <w:szCs w:val="22"/>
              </w:rPr>
            </w:pPr>
            <w:r w:rsidRPr="00F94FC0">
              <w:rPr>
                <w:color w:val="000000"/>
                <w:szCs w:val="22"/>
              </w:rPr>
              <w:t>Annual Reduction in Travel Time Including Passengers - Managed Lanes</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123,823</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166,160</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239,560</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316,828</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371,710</w:t>
            </w:r>
          </w:p>
        </w:tc>
        <w:tc>
          <w:tcPr>
            <w:tcW w:w="706"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4,955,277</w:t>
            </w:r>
          </w:p>
        </w:tc>
      </w:tr>
      <w:tr w:rsidR="00F94FC0" w:rsidRPr="00F906CF" w:rsidTr="00F94FC0">
        <w:trPr>
          <w:trHeight w:val="840"/>
        </w:trPr>
        <w:tc>
          <w:tcPr>
            <w:tcW w:w="1506" w:type="pct"/>
            <w:tcBorders>
              <w:top w:val="nil"/>
              <w:left w:val="single" w:sz="4" w:space="0" w:color="auto"/>
              <w:bottom w:val="single" w:sz="4" w:space="0" w:color="auto"/>
              <w:right w:val="single" w:sz="4" w:space="0" w:color="auto"/>
            </w:tcBorders>
            <w:shd w:val="clear" w:color="auto" w:fill="auto"/>
            <w:vAlign w:val="center"/>
            <w:hideMark/>
          </w:tcPr>
          <w:p w:rsidR="00F94FC0" w:rsidRPr="00F94FC0" w:rsidRDefault="00F94FC0" w:rsidP="00F906CF">
            <w:pPr>
              <w:spacing w:line="240" w:lineRule="auto"/>
              <w:rPr>
                <w:color w:val="000000"/>
                <w:szCs w:val="22"/>
              </w:rPr>
            </w:pPr>
            <w:r w:rsidRPr="00F94FC0">
              <w:rPr>
                <w:color w:val="000000"/>
                <w:szCs w:val="22"/>
              </w:rPr>
              <w:t>Annual Reduction in Travel Time Including Passengers - General Purpose Lanes</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558,804</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791,508</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810,008</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742,685</w:t>
            </w:r>
          </w:p>
        </w:tc>
        <w:tc>
          <w:tcPr>
            <w:tcW w:w="558"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657,247</w:t>
            </w:r>
          </w:p>
        </w:tc>
        <w:tc>
          <w:tcPr>
            <w:tcW w:w="706" w:type="pct"/>
            <w:tcBorders>
              <w:top w:val="nil"/>
              <w:left w:val="nil"/>
              <w:bottom w:val="single" w:sz="4" w:space="0" w:color="auto"/>
              <w:right w:val="single" w:sz="4" w:space="0" w:color="auto"/>
            </w:tcBorders>
            <w:shd w:val="clear" w:color="auto" w:fill="auto"/>
            <w:noWrap/>
            <w:vAlign w:val="center"/>
            <w:hideMark/>
          </w:tcPr>
          <w:p w:rsidR="00F94FC0" w:rsidRPr="00F94FC0" w:rsidRDefault="00F94FC0" w:rsidP="00F94FC0">
            <w:pPr>
              <w:jc w:val="center"/>
              <w:rPr>
                <w:color w:val="000000"/>
                <w:szCs w:val="22"/>
              </w:rPr>
            </w:pPr>
            <w:r w:rsidRPr="00F94FC0">
              <w:rPr>
                <w:color w:val="000000"/>
                <w:szCs w:val="22"/>
              </w:rPr>
              <w:t>14,847,546</w:t>
            </w:r>
          </w:p>
        </w:tc>
      </w:tr>
    </w:tbl>
    <w:p w:rsidR="001261CE" w:rsidRPr="006A21C2" w:rsidRDefault="001261CE" w:rsidP="001261CE">
      <w:pPr>
        <w:pStyle w:val="BodyText"/>
        <w:rPr>
          <w:sz w:val="16"/>
          <w:szCs w:val="16"/>
        </w:rPr>
      </w:pPr>
      <w:r w:rsidRPr="006A21C2">
        <w:rPr>
          <w:sz w:val="16"/>
          <w:szCs w:val="16"/>
        </w:rPr>
        <w:t xml:space="preserve">Source: Muller, AECOM </w:t>
      </w:r>
    </w:p>
    <w:p w:rsidR="003357C9" w:rsidRPr="00323D5D" w:rsidRDefault="003357C9" w:rsidP="006A21C2">
      <w:pPr>
        <w:pStyle w:val="Heading4"/>
      </w:pPr>
      <w:bookmarkStart w:id="146" w:name="_Toc448780339"/>
      <w:r w:rsidRPr="00323D5D">
        <w:t>Travel Time Savings – Commercial Trucks</w:t>
      </w:r>
      <w:bookmarkEnd w:id="146"/>
    </w:p>
    <w:p w:rsidR="000F2B19" w:rsidRPr="00323D5D" w:rsidRDefault="003357C9" w:rsidP="003357C9">
      <w:pPr>
        <w:pStyle w:val="BodyText"/>
      </w:pPr>
      <w:r w:rsidRPr="00323D5D">
        <w:t xml:space="preserve">Travel time </w:t>
      </w:r>
      <w:r w:rsidR="007B592B" w:rsidRPr="00323D5D">
        <w:t xml:space="preserve">reduction </w:t>
      </w:r>
      <w:r w:rsidR="000F2B19" w:rsidRPr="00323D5D">
        <w:t xml:space="preserve">of </w:t>
      </w:r>
      <w:r w:rsidRPr="00323D5D">
        <w:t>commercial trucks w</w:t>
      </w:r>
      <w:r w:rsidR="000F2B19" w:rsidRPr="00323D5D">
        <w:t>ere</w:t>
      </w:r>
      <w:r w:rsidRPr="00323D5D">
        <w:t xml:space="preserve"> calculated by applying the assumed percentage of trucks in the total traffic volumes (10.725%) to the </w:t>
      </w:r>
      <w:r w:rsidR="00F63E8F">
        <w:t xml:space="preserve">reduction in </w:t>
      </w:r>
      <w:r w:rsidRPr="00323D5D">
        <w:t>travel time</w:t>
      </w:r>
      <w:r w:rsidR="00F63E8F">
        <w:t>s</w:t>
      </w:r>
      <w:r w:rsidRPr="00323D5D">
        <w:t xml:space="preserve"> for general purpose lanes </w:t>
      </w:r>
      <w:r w:rsidR="00F63E8F">
        <w:t xml:space="preserve">during the peak and shoulder periods in </w:t>
      </w:r>
      <w:r w:rsidRPr="00323D5D">
        <w:t xml:space="preserve">the build scenario.  These </w:t>
      </w:r>
      <w:r w:rsidR="007B592B" w:rsidRPr="00323D5D">
        <w:t xml:space="preserve">travel time reductions </w:t>
      </w:r>
      <w:r w:rsidR="000F2B19" w:rsidRPr="00323D5D">
        <w:t xml:space="preserve">were then used to determine freight inventory savings, freight operating savings and freight emissions savings. </w:t>
      </w:r>
      <w:r w:rsidR="00C60137" w:rsidRPr="00323D5D">
        <w:t>Reduced travel times equate to more efficient movement of road freight as indicated by a reduction in commercial truck operating hours. Over the assessment period, the build scenario will generate a reduction of more than 1 million operati</w:t>
      </w:r>
      <w:r w:rsidR="00C60137">
        <w:t xml:space="preserve">ng hours for commercial trucks.  </w:t>
      </w:r>
      <w:r w:rsidRPr="00323D5D">
        <w:t xml:space="preserve">An overview of the total commercial truck </w:t>
      </w:r>
      <w:r w:rsidR="007B592B" w:rsidRPr="00323D5D">
        <w:t xml:space="preserve">travel time reductions </w:t>
      </w:r>
      <w:r w:rsidRPr="00323D5D">
        <w:t xml:space="preserve">resulting from the implementation of the </w:t>
      </w:r>
      <w:r w:rsidR="003B3E40">
        <w:t>I-25 Project</w:t>
      </w:r>
      <w:r w:rsidRPr="00323D5D">
        <w:t xml:space="preserve"> is shown in Table </w:t>
      </w:r>
      <w:r w:rsidR="00F63E8F">
        <w:t>2</w:t>
      </w:r>
      <w:r w:rsidR="00F3566B">
        <w:t>0</w:t>
      </w:r>
      <w:r w:rsidRPr="00323D5D">
        <w:t xml:space="preserve">. </w:t>
      </w:r>
    </w:p>
    <w:p w:rsidR="000F2B19" w:rsidRDefault="000F2B19" w:rsidP="000F2B19">
      <w:pPr>
        <w:pStyle w:val="BodyText"/>
        <w:spacing w:after="0"/>
        <w:jc w:val="center"/>
        <w:rPr>
          <w:b/>
          <w:sz w:val="18"/>
          <w:szCs w:val="18"/>
        </w:rPr>
      </w:pPr>
      <w:r w:rsidRPr="00323D5D">
        <w:rPr>
          <w:b/>
          <w:sz w:val="18"/>
          <w:szCs w:val="18"/>
        </w:rPr>
        <w:t xml:space="preserve">Table </w:t>
      </w:r>
      <w:r w:rsidR="00F63E8F">
        <w:rPr>
          <w:b/>
          <w:sz w:val="18"/>
          <w:szCs w:val="18"/>
        </w:rPr>
        <w:t>2</w:t>
      </w:r>
      <w:r w:rsidR="00F3566B">
        <w:rPr>
          <w:b/>
          <w:sz w:val="18"/>
          <w:szCs w:val="18"/>
        </w:rPr>
        <w:t>0</w:t>
      </w:r>
      <w:r w:rsidRPr="00323D5D">
        <w:rPr>
          <w:b/>
          <w:sz w:val="18"/>
          <w:szCs w:val="18"/>
        </w:rPr>
        <w:t>: Travel Times Savings – Commercial Trucks (2021-2040)</w:t>
      </w:r>
    </w:p>
    <w:tbl>
      <w:tblPr>
        <w:tblW w:w="5000" w:type="pct"/>
        <w:tblLook w:val="04A0" w:firstRow="1" w:lastRow="0" w:firstColumn="1" w:lastColumn="0" w:noHBand="0" w:noVBand="1"/>
      </w:tblPr>
      <w:tblGrid>
        <w:gridCol w:w="3495"/>
        <w:gridCol w:w="986"/>
        <w:gridCol w:w="986"/>
        <w:gridCol w:w="986"/>
        <w:gridCol w:w="986"/>
        <w:gridCol w:w="986"/>
        <w:gridCol w:w="1151"/>
      </w:tblGrid>
      <w:tr w:rsidR="00F906CF" w:rsidRPr="00F906CF" w:rsidTr="006A21C2">
        <w:trPr>
          <w:trHeight w:val="288"/>
        </w:trPr>
        <w:tc>
          <w:tcPr>
            <w:tcW w:w="19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right"/>
              <w:rPr>
                <w:b/>
                <w:bCs/>
                <w:color w:val="000000"/>
                <w:szCs w:val="22"/>
              </w:rPr>
            </w:pPr>
            <w:r w:rsidRPr="00F906CF">
              <w:rPr>
                <w:b/>
                <w:bCs/>
                <w:color w:val="000000"/>
                <w:szCs w:val="22"/>
              </w:rPr>
              <w:t>2021</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right"/>
              <w:rPr>
                <w:b/>
                <w:bCs/>
                <w:color w:val="000000"/>
                <w:szCs w:val="22"/>
              </w:rPr>
            </w:pPr>
            <w:r w:rsidRPr="00F906CF">
              <w:rPr>
                <w:b/>
                <w:bCs/>
                <w:color w:val="000000"/>
                <w:szCs w:val="22"/>
              </w:rPr>
              <w:t>2025</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right"/>
              <w:rPr>
                <w:b/>
                <w:bCs/>
                <w:color w:val="000000"/>
                <w:szCs w:val="22"/>
              </w:rPr>
            </w:pPr>
            <w:r w:rsidRPr="00F906CF">
              <w:rPr>
                <w:b/>
                <w:bCs/>
                <w:color w:val="000000"/>
                <w:szCs w:val="22"/>
              </w:rPr>
              <w:t>2030</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right"/>
              <w:rPr>
                <w:b/>
                <w:bCs/>
                <w:color w:val="000000"/>
                <w:szCs w:val="22"/>
              </w:rPr>
            </w:pPr>
            <w:r w:rsidRPr="00F906CF">
              <w:rPr>
                <w:b/>
                <w:bCs/>
                <w:color w:val="000000"/>
                <w:szCs w:val="22"/>
              </w:rPr>
              <w:t>2035</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jc w:val="right"/>
              <w:rPr>
                <w:b/>
                <w:bCs/>
                <w:color w:val="000000"/>
                <w:szCs w:val="22"/>
              </w:rPr>
            </w:pPr>
            <w:r w:rsidRPr="00F906CF">
              <w:rPr>
                <w:b/>
                <w:bCs/>
                <w:color w:val="000000"/>
                <w:szCs w:val="22"/>
              </w:rPr>
              <w:t>2040</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b/>
                <w:bCs/>
                <w:color w:val="000000"/>
                <w:szCs w:val="22"/>
              </w:rPr>
            </w:pPr>
            <w:r w:rsidRPr="00F906CF">
              <w:rPr>
                <w:b/>
                <w:bCs/>
                <w:color w:val="000000"/>
                <w:szCs w:val="22"/>
              </w:rPr>
              <w:t xml:space="preserve">Total </w:t>
            </w:r>
          </w:p>
        </w:tc>
      </w:tr>
      <w:tr w:rsidR="00F906CF" w:rsidRPr="00F906CF" w:rsidTr="006A21C2">
        <w:trPr>
          <w:trHeight w:val="300"/>
        </w:trPr>
        <w:tc>
          <w:tcPr>
            <w:tcW w:w="1941" w:type="pct"/>
            <w:tcBorders>
              <w:top w:val="nil"/>
              <w:left w:val="single" w:sz="4" w:space="0" w:color="auto"/>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Commercial Truck Operating Hours</w:t>
            </w:r>
          </w:p>
        </w:tc>
        <w:tc>
          <w:tcPr>
            <w:tcW w:w="498"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42,188 </w:t>
            </w:r>
          </w:p>
        </w:tc>
        <w:tc>
          <w:tcPr>
            <w:tcW w:w="498"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58,916 </w:t>
            </w:r>
          </w:p>
        </w:tc>
        <w:tc>
          <w:tcPr>
            <w:tcW w:w="498"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55,603 </w:t>
            </w:r>
          </w:p>
        </w:tc>
        <w:tc>
          <w:tcPr>
            <w:tcW w:w="498"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51,141 </w:t>
            </w:r>
          </w:p>
        </w:tc>
        <w:tc>
          <w:tcPr>
            <w:tcW w:w="498"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45,452 </w:t>
            </w:r>
          </w:p>
        </w:tc>
        <w:tc>
          <w:tcPr>
            <w:tcW w:w="569" w:type="pct"/>
            <w:tcBorders>
              <w:top w:val="nil"/>
              <w:left w:val="nil"/>
              <w:bottom w:val="single" w:sz="4" w:space="0" w:color="auto"/>
              <w:right w:val="single" w:sz="4" w:space="0" w:color="auto"/>
            </w:tcBorders>
            <w:shd w:val="clear" w:color="auto" w:fill="auto"/>
            <w:noWrap/>
            <w:vAlign w:val="bottom"/>
            <w:hideMark/>
          </w:tcPr>
          <w:p w:rsidR="00F906CF" w:rsidRPr="00F906CF" w:rsidRDefault="00F906CF" w:rsidP="00F906CF">
            <w:pPr>
              <w:spacing w:line="240" w:lineRule="auto"/>
              <w:rPr>
                <w:color w:val="000000"/>
                <w:szCs w:val="22"/>
              </w:rPr>
            </w:pPr>
            <w:r w:rsidRPr="00F906CF">
              <w:rPr>
                <w:color w:val="000000"/>
                <w:szCs w:val="22"/>
              </w:rPr>
              <w:t xml:space="preserve"> 1,041,597 </w:t>
            </w:r>
          </w:p>
        </w:tc>
      </w:tr>
    </w:tbl>
    <w:p w:rsidR="003357C9" w:rsidRPr="006A21C2" w:rsidRDefault="000F2B19" w:rsidP="003357C9">
      <w:pPr>
        <w:pStyle w:val="BodyText"/>
        <w:rPr>
          <w:sz w:val="16"/>
          <w:szCs w:val="16"/>
        </w:rPr>
      </w:pPr>
      <w:r w:rsidRPr="006A21C2">
        <w:rPr>
          <w:sz w:val="16"/>
          <w:szCs w:val="16"/>
        </w:rPr>
        <w:t xml:space="preserve">Source: Muller, AECOM </w:t>
      </w:r>
    </w:p>
    <w:p w:rsidR="003357C9" w:rsidRPr="00323D5D" w:rsidRDefault="003357C9" w:rsidP="006A21C2">
      <w:pPr>
        <w:pStyle w:val="Heading4"/>
      </w:pPr>
      <w:bookmarkStart w:id="147" w:name="_Toc448780340"/>
      <w:r w:rsidRPr="00323D5D">
        <w:t xml:space="preserve">Travel Time Savings – </w:t>
      </w:r>
      <w:proofErr w:type="spellStart"/>
      <w:r w:rsidRPr="00323D5D">
        <w:t>Bus</w:t>
      </w:r>
      <w:r w:rsidR="0003411C" w:rsidRPr="00323D5D">
        <w:t>tang</w:t>
      </w:r>
      <w:proofErr w:type="spellEnd"/>
      <w:r w:rsidR="0003411C" w:rsidRPr="00323D5D">
        <w:t xml:space="preserve"> Express Bus</w:t>
      </w:r>
      <w:bookmarkEnd w:id="147"/>
    </w:p>
    <w:p w:rsidR="001261CE" w:rsidRDefault="001261CE" w:rsidP="001261CE">
      <w:pPr>
        <w:pStyle w:val="BodyText"/>
      </w:pPr>
      <w:r w:rsidRPr="00323D5D">
        <w:t xml:space="preserve">The reduction in the average travel time per trip for the </w:t>
      </w:r>
      <w:proofErr w:type="spellStart"/>
      <w:r w:rsidRPr="00323D5D">
        <w:t>Bustang</w:t>
      </w:r>
      <w:proofErr w:type="spellEnd"/>
      <w:r w:rsidRPr="00323D5D">
        <w:t xml:space="preserve"> express bus comprise</w:t>
      </w:r>
      <w:r w:rsidR="00F906CF">
        <w:t>s</w:t>
      </w:r>
      <w:r w:rsidRPr="00323D5D">
        <w:t xml:space="preserve"> the travel time reduction that </w:t>
      </w:r>
      <w:r w:rsidR="00F906CF">
        <w:t xml:space="preserve">is </w:t>
      </w:r>
      <w:r w:rsidRPr="00323D5D">
        <w:t>achieved by using managed lanes.</w:t>
      </w:r>
      <w:r w:rsidR="007B592B" w:rsidRPr="00323D5D">
        <w:t xml:space="preserve"> These total time reductions were then applied to the number of bus services per annum to determine passenger travel time savings, emissions savings, operating savings, and safety savings.</w:t>
      </w:r>
      <w:r w:rsidR="007661A3">
        <w:t xml:space="preserve">  The level of these savings differ representative of where in the assessment corridor the passengers board and alight the bus. </w:t>
      </w:r>
    </w:p>
    <w:p w:rsidR="009733E7" w:rsidRPr="00323D5D" w:rsidRDefault="009733E7" w:rsidP="001261CE">
      <w:pPr>
        <w:pStyle w:val="BodyText"/>
      </w:pPr>
      <w:r>
        <w:t xml:space="preserve">The advent of the Park and Ride facility, bus slips and Kendall Parkway Underpass near the US34/I-25 interchange will bring additional time savings benefit to bus commuters outside of the travel time savings associated with the introduction of managed lanes.  Currently, </w:t>
      </w:r>
      <w:proofErr w:type="spellStart"/>
      <w:r>
        <w:t>Bustang</w:t>
      </w:r>
      <w:proofErr w:type="spellEnd"/>
      <w:r>
        <w:t xml:space="preserve"> service must exit the I-25 and </w:t>
      </w:r>
      <w:r w:rsidR="00DA34A8">
        <w:t xml:space="preserve">travel along US34 </w:t>
      </w:r>
      <w:r>
        <w:t xml:space="preserve">to access the existing temporary </w:t>
      </w:r>
      <w:r w:rsidR="00DA34A8">
        <w:t xml:space="preserve">Loveland-Greeley Park </w:t>
      </w:r>
      <w:r w:rsidRPr="009733E7">
        <w:t>and</w:t>
      </w:r>
      <w:r w:rsidR="00DA34A8">
        <w:t xml:space="preserve"> </w:t>
      </w:r>
      <w:r w:rsidRPr="009733E7">
        <w:t>Ride</w:t>
      </w:r>
      <w:r w:rsidR="00DA34A8">
        <w:t xml:space="preserve"> (also known as the </w:t>
      </w:r>
      <w:proofErr w:type="spellStart"/>
      <w:r w:rsidR="00DA34A8">
        <w:t>Centerra</w:t>
      </w:r>
      <w:proofErr w:type="spellEnd"/>
      <w:r w:rsidRPr="009733E7">
        <w:t xml:space="preserve"> </w:t>
      </w:r>
      <w:r>
        <w:t>Park and Ride</w:t>
      </w:r>
      <w:r w:rsidR="00DA34A8">
        <w:t xml:space="preserve">).  It has been estimated by CDOT that the advent of the bus slips along the I-25 corridor and the adjacent Park and Ride will deliver 15 minutes of time savings each way.  This analysis applies that additional time savings only to those passengers assumed to board/alight </w:t>
      </w:r>
      <w:proofErr w:type="spellStart"/>
      <w:r w:rsidR="00DA34A8">
        <w:t>Bustang</w:t>
      </w:r>
      <w:proofErr w:type="spellEnd"/>
      <w:r>
        <w:t xml:space="preserve"> </w:t>
      </w:r>
      <w:r w:rsidR="00DA34A8">
        <w:t xml:space="preserve">services north of the US34/I-25 interchange. </w:t>
      </w:r>
    </w:p>
    <w:p w:rsidR="00F74B43" w:rsidRPr="00323D5D" w:rsidRDefault="00F74B43" w:rsidP="001261CE">
      <w:pPr>
        <w:pStyle w:val="BodyText"/>
      </w:pPr>
      <w:r w:rsidRPr="00323D5D">
        <w:lastRenderedPageBreak/>
        <w:t xml:space="preserve">Travel time savings for buses were applied only to those </w:t>
      </w:r>
      <w:proofErr w:type="spellStart"/>
      <w:r w:rsidRPr="00323D5D">
        <w:t>Bustang</w:t>
      </w:r>
      <w:proofErr w:type="spellEnd"/>
      <w:r w:rsidRPr="00323D5D">
        <w:t xml:space="preserve"> services operating in the AM and PM peak and shoulder periods for which </w:t>
      </w:r>
      <w:r w:rsidR="0049339C">
        <w:t>travel time</w:t>
      </w:r>
      <w:r w:rsidRPr="00323D5D">
        <w:t xml:space="preserve"> savings were captured.  Of the 14 daily services which will be operating at the time of the commencement of managed lanes, 10 </w:t>
      </w:r>
      <w:r w:rsidR="00E20F7E" w:rsidRPr="00323D5D">
        <w:t xml:space="preserve">of them </w:t>
      </w:r>
      <w:r w:rsidRPr="00323D5D">
        <w:t>fall within the AM and PM peak and shoulder periods.</w:t>
      </w:r>
    </w:p>
    <w:p w:rsidR="00F74B43" w:rsidRPr="00323D5D" w:rsidRDefault="00F74B43" w:rsidP="001261CE">
      <w:pPr>
        <w:pStyle w:val="BodyText"/>
      </w:pPr>
      <w:r w:rsidRPr="00323D5D">
        <w:t xml:space="preserve">An overview of the travel time reduction for </w:t>
      </w:r>
      <w:proofErr w:type="spellStart"/>
      <w:r w:rsidRPr="00323D5D">
        <w:t>Bustang</w:t>
      </w:r>
      <w:proofErr w:type="spellEnd"/>
      <w:r w:rsidRPr="00323D5D">
        <w:t xml:space="preserve"> expresses bus is shown in Table </w:t>
      </w:r>
      <w:r w:rsidR="00F63E8F">
        <w:t>2</w:t>
      </w:r>
      <w:r w:rsidR="00F3566B">
        <w:t>1</w:t>
      </w:r>
      <w:r w:rsidRPr="00323D5D">
        <w:t xml:space="preserve">.  </w:t>
      </w:r>
    </w:p>
    <w:p w:rsidR="00F74B43" w:rsidRPr="00323D5D" w:rsidRDefault="00F74B43" w:rsidP="00F74B43">
      <w:pPr>
        <w:pStyle w:val="BodyText"/>
        <w:spacing w:after="0"/>
        <w:jc w:val="center"/>
        <w:rPr>
          <w:b/>
          <w:sz w:val="18"/>
          <w:szCs w:val="18"/>
        </w:rPr>
      </w:pPr>
      <w:r w:rsidRPr="00323D5D">
        <w:rPr>
          <w:b/>
          <w:sz w:val="18"/>
          <w:szCs w:val="18"/>
        </w:rPr>
        <w:t xml:space="preserve">Table </w:t>
      </w:r>
      <w:r w:rsidR="00F63E8F">
        <w:rPr>
          <w:b/>
          <w:sz w:val="18"/>
          <w:szCs w:val="18"/>
        </w:rPr>
        <w:t>2</w:t>
      </w:r>
      <w:r w:rsidR="00F3566B">
        <w:rPr>
          <w:b/>
          <w:sz w:val="18"/>
          <w:szCs w:val="18"/>
        </w:rPr>
        <w:t>1</w:t>
      </w:r>
      <w:r w:rsidRPr="00323D5D">
        <w:rPr>
          <w:b/>
          <w:sz w:val="18"/>
          <w:szCs w:val="18"/>
        </w:rPr>
        <w:t xml:space="preserve">: Travel Times Savings – </w:t>
      </w:r>
      <w:proofErr w:type="spellStart"/>
      <w:r w:rsidRPr="00323D5D">
        <w:rPr>
          <w:b/>
          <w:sz w:val="18"/>
          <w:szCs w:val="18"/>
        </w:rPr>
        <w:t>Bustang</w:t>
      </w:r>
      <w:proofErr w:type="spellEnd"/>
      <w:r w:rsidRPr="00323D5D">
        <w:rPr>
          <w:b/>
          <w:sz w:val="18"/>
          <w:szCs w:val="18"/>
        </w:rPr>
        <w:t xml:space="preserve"> Express Bus (2021-2040)</w:t>
      </w:r>
    </w:p>
    <w:tbl>
      <w:tblPr>
        <w:tblW w:w="5000" w:type="pct"/>
        <w:tblLook w:val="04A0" w:firstRow="1" w:lastRow="0" w:firstColumn="1" w:lastColumn="0" w:noHBand="0" w:noVBand="1"/>
      </w:tblPr>
      <w:tblGrid>
        <w:gridCol w:w="3021"/>
        <w:gridCol w:w="1020"/>
        <w:gridCol w:w="1020"/>
        <w:gridCol w:w="1021"/>
        <w:gridCol w:w="1021"/>
        <w:gridCol w:w="1021"/>
        <w:gridCol w:w="1452"/>
      </w:tblGrid>
      <w:tr w:rsidR="00594579" w:rsidRPr="00323D5D" w:rsidTr="006A21C2">
        <w:trPr>
          <w:trHeight w:val="288"/>
        </w:trPr>
        <w:tc>
          <w:tcPr>
            <w:tcW w:w="1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rPr>
                <w:color w:val="000000"/>
                <w:szCs w:val="22"/>
              </w:rPr>
            </w:pPr>
            <w:r w:rsidRPr="00323D5D">
              <w:rPr>
                <w:color w:val="000000"/>
                <w:szCs w:val="22"/>
              </w:rPr>
              <w:t> </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jc w:val="right"/>
              <w:rPr>
                <w:b/>
                <w:bCs/>
                <w:color w:val="000000"/>
                <w:szCs w:val="22"/>
              </w:rPr>
            </w:pPr>
            <w:r w:rsidRPr="00323D5D">
              <w:rPr>
                <w:b/>
                <w:bCs/>
                <w:color w:val="000000"/>
                <w:szCs w:val="22"/>
              </w:rPr>
              <w:t>2021</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jc w:val="right"/>
              <w:rPr>
                <w:b/>
                <w:bCs/>
                <w:color w:val="000000"/>
                <w:szCs w:val="22"/>
              </w:rPr>
            </w:pPr>
            <w:r w:rsidRPr="00323D5D">
              <w:rPr>
                <w:b/>
                <w:bCs/>
                <w:color w:val="000000"/>
                <w:szCs w:val="22"/>
              </w:rPr>
              <w:t>2025</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jc w:val="right"/>
              <w:rPr>
                <w:b/>
                <w:bCs/>
                <w:color w:val="000000"/>
                <w:szCs w:val="22"/>
              </w:rPr>
            </w:pPr>
            <w:r w:rsidRPr="00323D5D">
              <w:rPr>
                <w:b/>
                <w:bCs/>
                <w:color w:val="000000"/>
                <w:szCs w:val="22"/>
              </w:rPr>
              <w:t>2030</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jc w:val="right"/>
              <w:rPr>
                <w:b/>
                <w:bCs/>
                <w:color w:val="000000"/>
                <w:szCs w:val="22"/>
              </w:rPr>
            </w:pPr>
            <w:r w:rsidRPr="00323D5D">
              <w:rPr>
                <w:b/>
                <w:bCs/>
                <w:color w:val="000000"/>
                <w:szCs w:val="22"/>
              </w:rPr>
              <w:t>2035</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jc w:val="right"/>
              <w:rPr>
                <w:b/>
                <w:bCs/>
                <w:color w:val="000000"/>
                <w:szCs w:val="22"/>
              </w:rPr>
            </w:pPr>
            <w:r w:rsidRPr="00323D5D">
              <w:rPr>
                <w:b/>
                <w:bCs/>
                <w:color w:val="000000"/>
                <w:szCs w:val="22"/>
              </w:rPr>
              <w:t>2040</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594579" w:rsidRPr="00323D5D" w:rsidRDefault="00594579" w:rsidP="00594579">
            <w:pPr>
              <w:spacing w:line="240" w:lineRule="auto"/>
              <w:rPr>
                <w:b/>
                <w:bCs/>
                <w:color w:val="000000"/>
                <w:szCs w:val="22"/>
              </w:rPr>
            </w:pPr>
            <w:r w:rsidRPr="00323D5D">
              <w:rPr>
                <w:b/>
                <w:bCs/>
                <w:color w:val="000000"/>
                <w:szCs w:val="22"/>
              </w:rPr>
              <w:t>Total</w:t>
            </w:r>
          </w:p>
        </w:tc>
      </w:tr>
      <w:tr w:rsidR="00F906CF" w:rsidRPr="00323D5D" w:rsidTr="00F94FC0">
        <w:trPr>
          <w:trHeight w:val="288"/>
        </w:trPr>
        <w:tc>
          <w:tcPr>
            <w:tcW w:w="1391" w:type="pct"/>
            <w:tcBorders>
              <w:top w:val="nil"/>
              <w:left w:val="single" w:sz="4" w:space="0" w:color="auto"/>
              <w:bottom w:val="single" w:sz="4" w:space="0" w:color="auto"/>
              <w:right w:val="single" w:sz="4" w:space="0" w:color="auto"/>
            </w:tcBorders>
            <w:shd w:val="clear" w:color="auto" w:fill="auto"/>
            <w:noWrap/>
            <w:vAlign w:val="center"/>
            <w:hideMark/>
          </w:tcPr>
          <w:p w:rsidR="00F906CF" w:rsidRPr="00F94FC0" w:rsidRDefault="00F906CF" w:rsidP="00F94FC0">
            <w:pPr>
              <w:spacing w:line="240" w:lineRule="auto"/>
              <w:jc w:val="center"/>
              <w:rPr>
                <w:color w:val="000000"/>
                <w:szCs w:val="22"/>
              </w:rPr>
            </w:pPr>
            <w:r w:rsidRPr="00F94FC0">
              <w:rPr>
                <w:color w:val="000000"/>
                <w:szCs w:val="22"/>
              </w:rPr>
              <w:t>Total Operating Hours Avoided</w:t>
            </w:r>
          </w:p>
        </w:tc>
        <w:tc>
          <w:tcPr>
            <w:tcW w:w="564"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33,869</w:t>
            </w:r>
          </w:p>
        </w:tc>
        <w:tc>
          <w:tcPr>
            <w:tcW w:w="564"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41,456</w:t>
            </w:r>
          </w:p>
        </w:tc>
        <w:tc>
          <w:tcPr>
            <w:tcW w:w="564"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46,156</w:t>
            </w:r>
          </w:p>
        </w:tc>
        <w:tc>
          <w:tcPr>
            <w:tcW w:w="564"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50,906</w:t>
            </w:r>
          </w:p>
        </w:tc>
        <w:tc>
          <w:tcPr>
            <w:tcW w:w="564"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56,114</w:t>
            </w:r>
          </w:p>
        </w:tc>
        <w:tc>
          <w:tcPr>
            <w:tcW w:w="789" w:type="pct"/>
            <w:tcBorders>
              <w:top w:val="nil"/>
              <w:left w:val="nil"/>
              <w:bottom w:val="single" w:sz="4" w:space="0" w:color="auto"/>
              <w:right w:val="single" w:sz="4" w:space="0" w:color="auto"/>
            </w:tcBorders>
            <w:shd w:val="clear" w:color="auto" w:fill="auto"/>
            <w:noWrap/>
            <w:vAlign w:val="center"/>
            <w:hideMark/>
          </w:tcPr>
          <w:p w:rsidR="00F906CF" w:rsidRPr="00F94FC0" w:rsidRDefault="00F94FC0" w:rsidP="00F94FC0">
            <w:pPr>
              <w:jc w:val="center"/>
              <w:rPr>
                <w:color w:val="000000"/>
                <w:szCs w:val="22"/>
              </w:rPr>
            </w:pPr>
            <w:r w:rsidRPr="00F94FC0">
              <w:rPr>
                <w:color w:val="000000"/>
                <w:szCs w:val="22"/>
              </w:rPr>
              <w:t>925,827</w:t>
            </w:r>
          </w:p>
        </w:tc>
      </w:tr>
    </w:tbl>
    <w:p w:rsidR="00F74B43" w:rsidRDefault="00F74B43" w:rsidP="00F74B43">
      <w:pPr>
        <w:pStyle w:val="BodyText"/>
        <w:rPr>
          <w:sz w:val="18"/>
          <w:szCs w:val="18"/>
        </w:rPr>
      </w:pPr>
      <w:r w:rsidRPr="00323D5D">
        <w:rPr>
          <w:sz w:val="18"/>
          <w:szCs w:val="18"/>
        </w:rPr>
        <w:t xml:space="preserve">Source: CDOT, Muller, AECOM </w:t>
      </w:r>
    </w:p>
    <w:p w:rsidR="00DA34A8" w:rsidRPr="00323D5D" w:rsidRDefault="003B3E40" w:rsidP="00DA34A8">
      <w:pPr>
        <w:pStyle w:val="BodyText"/>
      </w:pPr>
      <w:r>
        <w:rPr>
          <w:szCs w:val="22"/>
        </w:rPr>
        <w:t xml:space="preserve">To avoid double counting in the evaluation, the travel time savings of those passengers mode shifting from personal vehicle to transit under the build scenario were not included added to the overall travel time savings as these savings are already captures in the overall mode shift savings.  The travel time saving for </w:t>
      </w:r>
      <w:proofErr w:type="spellStart"/>
      <w:r>
        <w:rPr>
          <w:szCs w:val="22"/>
        </w:rPr>
        <w:t>Bustang</w:t>
      </w:r>
      <w:proofErr w:type="spellEnd"/>
      <w:r>
        <w:rPr>
          <w:szCs w:val="22"/>
        </w:rPr>
        <w:t xml:space="preserve"> passengers identified in Table 22 represents only the savings of current transit passengers</w:t>
      </w:r>
      <w:r w:rsidR="00DA34A8">
        <w:rPr>
          <w:szCs w:val="22"/>
        </w:rPr>
        <w:t xml:space="preserve"> and includes the additional 15 minutes time savings for those </w:t>
      </w:r>
      <w:r w:rsidR="00DA34A8">
        <w:t xml:space="preserve">boarding/alighting </w:t>
      </w:r>
      <w:proofErr w:type="spellStart"/>
      <w:r w:rsidR="00DA34A8">
        <w:t>Bustang</w:t>
      </w:r>
      <w:proofErr w:type="spellEnd"/>
      <w:r w:rsidR="00DA34A8">
        <w:t xml:space="preserve"> services north of the US34/I-25 interchange.</w:t>
      </w:r>
      <w:r w:rsidR="00F94FC0">
        <w:t xml:space="preserve">  In this sense, the estimation of travel time savings by </w:t>
      </w:r>
      <w:proofErr w:type="spellStart"/>
      <w:r w:rsidR="00F94FC0">
        <w:t>Bustang</w:t>
      </w:r>
      <w:proofErr w:type="spellEnd"/>
      <w:r w:rsidR="00F94FC0">
        <w:t xml:space="preserve"> Passengers should be considered conservative.</w:t>
      </w:r>
      <w:r w:rsidR="00DA34A8">
        <w:t xml:space="preserve"> </w:t>
      </w:r>
    </w:p>
    <w:p w:rsidR="00D77C36" w:rsidRPr="00323D5D" w:rsidRDefault="00D77C36" w:rsidP="006A21C2">
      <w:pPr>
        <w:pStyle w:val="Heading2"/>
      </w:pPr>
      <w:bookmarkStart w:id="148" w:name="_Toc448780341"/>
      <w:r w:rsidRPr="00323D5D">
        <w:t>Safety Outcomes</w:t>
      </w:r>
      <w:bookmarkEnd w:id="148"/>
      <w:r w:rsidRPr="00323D5D">
        <w:t xml:space="preserve"> </w:t>
      </w:r>
    </w:p>
    <w:p w:rsidR="00F87ADC" w:rsidRPr="00323D5D" w:rsidRDefault="00D77C36" w:rsidP="00D77C36">
      <w:pPr>
        <w:pStyle w:val="BodyText"/>
      </w:pPr>
      <w:r w:rsidRPr="00323D5D">
        <w:t xml:space="preserve">Safety outcomes comprise reduction in the incidence of accidents, injuries and fatalities within the assessment corridor associated with the implementation of the </w:t>
      </w:r>
      <w:r w:rsidR="003B3E40">
        <w:t>I-25 Project</w:t>
      </w:r>
      <w:r w:rsidRPr="00323D5D">
        <w:t xml:space="preserve">.  The baseline and build scenarios both forecast increased traffic volumes over time; however, the build scenario is forecast to allow for more efficient travel through the corridor and to see substantial mode shift from single passenger vehicles to either </w:t>
      </w:r>
      <w:r w:rsidR="004929C1">
        <w:t xml:space="preserve">carpooling in </w:t>
      </w:r>
      <w:r w:rsidRPr="00323D5D">
        <w:t>HOV</w:t>
      </w:r>
      <w:r w:rsidR="004929C1">
        <w:t>+</w:t>
      </w:r>
      <w:r w:rsidRPr="00323D5D">
        <w:t xml:space="preserve"> or</w:t>
      </w:r>
      <w:r w:rsidR="004929C1">
        <w:t xml:space="preserve"> to</w:t>
      </w:r>
      <w:r w:rsidRPr="00323D5D">
        <w:t xml:space="preserve"> public transit.  Together, these impacts of the build scenario generate VMT</w:t>
      </w:r>
      <w:r w:rsidR="00A4772A" w:rsidRPr="00323D5D">
        <w:t xml:space="preserve"> avoidance which, a</w:t>
      </w:r>
      <w:r w:rsidRPr="00323D5D">
        <w:t xml:space="preserve">s discussed in </w:t>
      </w:r>
      <w:r w:rsidRPr="006A21C2">
        <w:t>Section 2.</w:t>
      </w:r>
      <w:r w:rsidR="00F906CF" w:rsidRPr="006A21C2">
        <w:t>1</w:t>
      </w:r>
      <w:r w:rsidRPr="006A21C2">
        <w:t>.</w:t>
      </w:r>
      <w:r w:rsidR="00F906CF" w:rsidRPr="006A21C2">
        <w:t>5</w:t>
      </w:r>
      <w:r w:rsidRPr="00F906CF">
        <w:t>,</w:t>
      </w:r>
      <w:r w:rsidRPr="00323D5D">
        <w:t xml:space="preserve"> </w:t>
      </w:r>
      <w:r w:rsidR="00F906CF">
        <w:t xml:space="preserve">is the primary driver in the generation of </w:t>
      </w:r>
      <w:r w:rsidRPr="00323D5D">
        <w:t>safety</w:t>
      </w:r>
      <w:r w:rsidR="00F906CF">
        <w:t xml:space="preserve"> benefits</w:t>
      </w:r>
      <w:r w:rsidR="00F87ADC" w:rsidRPr="00323D5D">
        <w:t xml:space="preserve">. </w:t>
      </w:r>
    </w:p>
    <w:p w:rsidR="00F87ADC" w:rsidRDefault="00F87ADC" w:rsidP="00D77C36">
      <w:pPr>
        <w:pStyle w:val="BodyText"/>
      </w:pPr>
      <w:r w:rsidRPr="00323D5D">
        <w:t xml:space="preserve">Table </w:t>
      </w:r>
      <w:r w:rsidR="00F906CF">
        <w:t>2</w:t>
      </w:r>
      <w:r w:rsidR="00F3566B">
        <w:t>3</w:t>
      </w:r>
      <w:r w:rsidR="00F906CF" w:rsidRPr="00323D5D">
        <w:t xml:space="preserve"> </w:t>
      </w:r>
      <w:r w:rsidRPr="00323D5D">
        <w:t xml:space="preserve">shows the </w:t>
      </w:r>
      <w:r w:rsidR="00FF337F" w:rsidRPr="00323D5D">
        <w:t xml:space="preserve">annual and </w:t>
      </w:r>
      <w:r w:rsidRPr="00323D5D">
        <w:t xml:space="preserve">total </w:t>
      </w:r>
      <w:r w:rsidR="00FF337F" w:rsidRPr="00323D5D">
        <w:t xml:space="preserve">reduction </w:t>
      </w:r>
      <w:r w:rsidRPr="00323D5D">
        <w:t xml:space="preserve">of accidents, injuries and fatalities </w:t>
      </w:r>
      <w:r w:rsidR="00FF337F" w:rsidRPr="00323D5D">
        <w:t xml:space="preserve">associated with VMT avoidance in the build scenario, as well as the annual accidents avoided by MAIS type. </w:t>
      </w:r>
    </w:p>
    <w:p w:rsidR="00FF337F" w:rsidRPr="00323D5D" w:rsidRDefault="00FF337F" w:rsidP="00FF337F">
      <w:pPr>
        <w:pStyle w:val="BodyText"/>
        <w:spacing w:after="0"/>
        <w:jc w:val="center"/>
        <w:rPr>
          <w:b/>
          <w:sz w:val="18"/>
          <w:szCs w:val="18"/>
        </w:rPr>
      </w:pPr>
      <w:r w:rsidRPr="00323D5D">
        <w:rPr>
          <w:b/>
          <w:sz w:val="18"/>
          <w:szCs w:val="18"/>
        </w:rPr>
        <w:t xml:space="preserve">Table </w:t>
      </w:r>
      <w:r w:rsidR="00184258">
        <w:rPr>
          <w:b/>
          <w:sz w:val="18"/>
          <w:szCs w:val="18"/>
        </w:rPr>
        <w:t>2</w:t>
      </w:r>
      <w:r w:rsidR="00F3566B">
        <w:rPr>
          <w:b/>
          <w:sz w:val="18"/>
          <w:szCs w:val="18"/>
        </w:rPr>
        <w:t>3</w:t>
      </w:r>
      <w:r w:rsidRPr="00323D5D">
        <w:rPr>
          <w:b/>
          <w:sz w:val="18"/>
          <w:szCs w:val="18"/>
        </w:rPr>
        <w:t xml:space="preserve">: Reduction in Accidents, Injuries and </w:t>
      </w:r>
      <w:r w:rsidR="00E7271F" w:rsidRPr="00323D5D">
        <w:rPr>
          <w:b/>
          <w:sz w:val="18"/>
          <w:szCs w:val="18"/>
        </w:rPr>
        <w:t>Fatalities (</w:t>
      </w:r>
      <w:r w:rsidRPr="00323D5D">
        <w:rPr>
          <w:b/>
          <w:sz w:val="18"/>
          <w:szCs w:val="18"/>
        </w:rPr>
        <w:t>2021-2040)</w:t>
      </w:r>
    </w:p>
    <w:tbl>
      <w:tblPr>
        <w:tblW w:w="5000" w:type="pct"/>
        <w:tblLook w:val="04A0" w:firstRow="1" w:lastRow="0" w:firstColumn="1" w:lastColumn="0" w:noHBand="0" w:noVBand="1"/>
      </w:tblPr>
      <w:tblGrid>
        <w:gridCol w:w="2834"/>
        <w:gridCol w:w="1008"/>
        <w:gridCol w:w="1007"/>
        <w:gridCol w:w="1007"/>
        <w:gridCol w:w="1007"/>
        <w:gridCol w:w="1007"/>
        <w:gridCol w:w="1706"/>
      </w:tblGrid>
      <w:tr w:rsidR="00184258" w:rsidRPr="00323D5D" w:rsidTr="00B95D49">
        <w:trPr>
          <w:trHeight w:val="288"/>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rPr>
                <w:color w:val="000000"/>
                <w:szCs w:val="22"/>
              </w:rPr>
            </w:pPr>
            <w:r w:rsidRPr="006A21C2">
              <w:rPr>
                <w:color w:val="000000"/>
                <w:szCs w:val="22"/>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jc w:val="right"/>
              <w:rPr>
                <w:b/>
                <w:bCs/>
                <w:color w:val="000000"/>
                <w:szCs w:val="22"/>
              </w:rPr>
            </w:pPr>
            <w:r w:rsidRPr="006A21C2">
              <w:rPr>
                <w:b/>
                <w:bCs/>
                <w:color w:val="000000"/>
                <w:szCs w:val="22"/>
              </w:rPr>
              <w:t>2021</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jc w:val="right"/>
              <w:rPr>
                <w:b/>
                <w:bCs/>
                <w:color w:val="000000"/>
                <w:szCs w:val="22"/>
              </w:rPr>
            </w:pPr>
            <w:r w:rsidRPr="006A21C2">
              <w:rPr>
                <w:b/>
                <w:bCs/>
                <w:color w:val="000000"/>
                <w:szCs w:val="22"/>
              </w:rPr>
              <w:t>2025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jc w:val="right"/>
              <w:rPr>
                <w:b/>
                <w:bCs/>
                <w:color w:val="000000"/>
                <w:szCs w:val="22"/>
              </w:rPr>
            </w:pPr>
            <w:r w:rsidRPr="006A21C2">
              <w:rPr>
                <w:b/>
                <w:bCs/>
                <w:color w:val="000000"/>
                <w:szCs w:val="22"/>
              </w:rPr>
              <w:t>2030</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jc w:val="right"/>
              <w:rPr>
                <w:b/>
                <w:bCs/>
                <w:color w:val="000000"/>
                <w:szCs w:val="22"/>
              </w:rPr>
            </w:pPr>
            <w:r w:rsidRPr="006A21C2">
              <w:rPr>
                <w:b/>
                <w:bCs/>
                <w:color w:val="000000"/>
                <w:szCs w:val="22"/>
              </w:rPr>
              <w:t>2035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jc w:val="right"/>
              <w:rPr>
                <w:b/>
                <w:bCs/>
                <w:color w:val="000000"/>
                <w:szCs w:val="22"/>
              </w:rPr>
            </w:pPr>
            <w:r w:rsidRPr="006A21C2">
              <w:rPr>
                <w:b/>
                <w:bCs/>
                <w:color w:val="000000"/>
                <w:szCs w:val="22"/>
              </w:rPr>
              <w:t>2040</w:t>
            </w:r>
          </w:p>
        </w:tc>
        <w:tc>
          <w:tcPr>
            <w:tcW w:w="892" w:type="pct"/>
            <w:tcBorders>
              <w:top w:val="single" w:sz="4" w:space="0" w:color="auto"/>
              <w:left w:val="nil"/>
              <w:bottom w:val="single" w:sz="4" w:space="0" w:color="auto"/>
              <w:right w:val="single" w:sz="4" w:space="0" w:color="auto"/>
            </w:tcBorders>
            <w:shd w:val="clear" w:color="auto" w:fill="auto"/>
            <w:noWrap/>
            <w:vAlign w:val="bottom"/>
            <w:hideMark/>
          </w:tcPr>
          <w:p w:rsidR="00184258" w:rsidRPr="00184258" w:rsidRDefault="00184258" w:rsidP="00F87ADC">
            <w:pPr>
              <w:spacing w:line="240" w:lineRule="auto"/>
              <w:rPr>
                <w:b/>
                <w:bCs/>
                <w:color w:val="000000"/>
                <w:szCs w:val="22"/>
              </w:rPr>
            </w:pPr>
            <w:r w:rsidRPr="006A21C2">
              <w:rPr>
                <w:b/>
                <w:bCs/>
                <w:color w:val="000000"/>
                <w:szCs w:val="22"/>
              </w:rPr>
              <w:t xml:space="preserve">Total </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184258" w:rsidRDefault="00B95D49" w:rsidP="00F87ADC">
            <w:pPr>
              <w:spacing w:line="240" w:lineRule="auto"/>
              <w:rPr>
                <w:color w:val="000000"/>
                <w:szCs w:val="22"/>
              </w:rPr>
            </w:pPr>
            <w:r w:rsidRPr="00184258">
              <w:rPr>
                <w:color w:val="000000"/>
                <w:szCs w:val="22"/>
              </w:rPr>
              <w:t>Reduced Fatalities</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0.10</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0.12</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0.18</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0.18</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2.87</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184258" w:rsidRDefault="00B95D49" w:rsidP="00F87ADC">
            <w:pPr>
              <w:spacing w:line="240" w:lineRule="auto"/>
              <w:rPr>
                <w:color w:val="000000"/>
                <w:szCs w:val="22"/>
              </w:rPr>
            </w:pPr>
            <w:r w:rsidRPr="00184258">
              <w:rPr>
                <w:color w:val="000000"/>
                <w:szCs w:val="22"/>
              </w:rPr>
              <w:t>Reduced Injuries</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7.0</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8.2</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9.7</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12.5</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12.5</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200.5</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184258" w:rsidRDefault="00B95D49" w:rsidP="00F87ADC">
            <w:pPr>
              <w:spacing w:line="240" w:lineRule="auto"/>
              <w:rPr>
                <w:color w:val="000000"/>
                <w:szCs w:val="22"/>
              </w:rPr>
            </w:pPr>
            <w:r w:rsidRPr="00184258">
              <w:rPr>
                <w:color w:val="000000"/>
                <w:szCs w:val="22"/>
              </w:rPr>
              <w:t>Reduced Crashes</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17.5</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20.6</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24.4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31.3</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31.4</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503.2</w:t>
            </w:r>
          </w:p>
        </w:tc>
      </w:tr>
      <w:tr w:rsidR="00F87ADC" w:rsidRPr="00323D5D" w:rsidTr="00FF337F">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ADC" w:rsidRPr="00323D5D" w:rsidRDefault="00F87ADC" w:rsidP="00F87ADC">
            <w:pPr>
              <w:spacing w:line="240" w:lineRule="auto"/>
              <w:jc w:val="center"/>
              <w:rPr>
                <w:color w:val="000000"/>
                <w:szCs w:val="22"/>
              </w:rPr>
            </w:pPr>
            <w:r w:rsidRPr="00323D5D">
              <w:rPr>
                <w:color w:val="000000"/>
                <w:szCs w:val="22"/>
              </w:rPr>
              <w:t> </w:t>
            </w:r>
          </w:p>
        </w:tc>
      </w:tr>
      <w:tr w:rsidR="00FF337F" w:rsidRPr="00323D5D" w:rsidTr="00FF337F">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FF337F" w:rsidRPr="00323D5D" w:rsidRDefault="00FF337F" w:rsidP="00FF337F">
            <w:pPr>
              <w:spacing w:line="240" w:lineRule="auto"/>
              <w:jc w:val="center"/>
              <w:rPr>
                <w:color w:val="000000"/>
                <w:szCs w:val="22"/>
              </w:rPr>
            </w:pPr>
            <w:r w:rsidRPr="00323D5D">
              <w:rPr>
                <w:b/>
                <w:bCs/>
                <w:color w:val="000000"/>
                <w:szCs w:val="22"/>
              </w:rPr>
              <w:t>Annual Accidents Avoided by MAIS type</w:t>
            </w:r>
          </w:p>
        </w:tc>
      </w:tr>
      <w:tr w:rsidR="00184258"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184258" w:rsidRPr="00323D5D" w:rsidRDefault="00184258" w:rsidP="00F87ADC">
            <w:pPr>
              <w:spacing w:line="240" w:lineRule="auto"/>
              <w:rPr>
                <w:color w:val="000000"/>
                <w:szCs w:val="22"/>
              </w:rPr>
            </w:pPr>
            <w:r>
              <w:rPr>
                <w:color w:val="000000"/>
                <w:szCs w:val="22"/>
              </w:rPr>
              <w:t> </w:t>
            </w:r>
          </w:p>
        </w:tc>
        <w:tc>
          <w:tcPr>
            <w:tcW w:w="526"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2021</w:t>
            </w:r>
          </w:p>
        </w:tc>
        <w:tc>
          <w:tcPr>
            <w:tcW w:w="526"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2025</w:t>
            </w:r>
          </w:p>
        </w:tc>
        <w:tc>
          <w:tcPr>
            <w:tcW w:w="526"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2030</w:t>
            </w:r>
          </w:p>
        </w:tc>
        <w:tc>
          <w:tcPr>
            <w:tcW w:w="526"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2035</w:t>
            </w:r>
          </w:p>
        </w:tc>
        <w:tc>
          <w:tcPr>
            <w:tcW w:w="526"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2040</w:t>
            </w:r>
          </w:p>
        </w:tc>
        <w:tc>
          <w:tcPr>
            <w:tcW w:w="892" w:type="pct"/>
            <w:tcBorders>
              <w:top w:val="nil"/>
              <w:left w:val="nil"/>
              <w:bottom w:val="single" w:sz="4" w:space="0" w:color="auto"/>
              <w:right w:val="single" w:sz="4" w:space="0" w:color="auto"/>
            </w:tcBorders>
            <w:shd w:val="clear" w:color="auto" w:fill="auto"/>
            <w:noWrap/>
            <w:vAlign w:val="bottom"/>
            <w:hideMark/>
          </w:tcPr>
          <w:p w:rsidR="00184258" w:rsidRPr="00B95D49" w:rsidRDefault="00184258" w:rsidP="00B95D49">
            <w:pPr>
              <w:spacing w:line="240" w:lineRule="auto"/>
              <w:jc w:val="center"/>
              <w:rPr>
                <w:b/>
                <w:bCs/>
                <w:color w:val="000000"/>
                <w:szCs w:val="22"/>
              </w:rPr>
            </w:pPr>
            <w:r w:rsidRPr="00B95D49">
              <w:rPr>
                <w:b/>
                <w:bCs/>
                <w:color w:val="000000"/>
                <w:szCs w:val="22"/>
              </w:rPr>
              <w:t>Total</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Fatalities</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0.2</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0.2</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2.9</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MAIS 5</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2.2</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MAIS 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0.0</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0.0</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0.0</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0.1</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0.9</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MAIS 3</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0.3</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0.3</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0.5</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0.5</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8.1</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MAIS 2</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0.8</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0.9</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1.4</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22.7</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MAIS 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5.8</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6.8</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8.1</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10.4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10.4</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166.7</w:t>
            </w:r>
          </w:p>
        </w:tc>
      </w:tr>
      <w:tr w:rsidR="00B95D49" w:rsidRPr="00323D5D" w:rsidTr="00B95D49">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B95D49" w:rsidRPr="00323D5D" w:rsidRDefault="00B95D49" w:rsidP="00F87ADC">
            <w:pPr>
              <w:spacing w:line="240" w:lineRule="auto"/>
              <w:rPr>
                <w:color w:val="000000"/>
                <w:szCs w:val="22"/>
              </w:rPr>
            </w:pPr>
            <w:r>
              <w:rPr>
                <w:color w:val="000000"/>
                <w:szCs w:val="22"/>
              </w:rPr>
              <w:t>Property Damage Only</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17.5</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20.6</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24.4</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31.3</w:t>
            </w:r>
          </w:p>
        </w:tc>
        <w:tc>
          <w:tcPr>
            <w:tcW w:w="526"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31.4</w:t>
            </w:r>
          </w:p>
        </w:tc>
        <w:tc>
          <w:tcPr>
            <w:tcW w:w="892" w:type="pct"/>
            <w:tcBorders>
              <w:top w:val="nil"/>
              <w:left w:val="nil"/>
              <w:bottom w:val="single" w:sz="4" w:space="0" w:color="auto"/>
              <w:right w:val="single" w:sz="4" w:space="0" w:color="auto"/>
            </w:tcBorders>
            <w:shd w:val="clear" w:color="auto" w:fill="auto"/>
            <w:noWrap/>
            <w:vAlign w:val="bottom"/>
            <w:hideMark/>
          </w:tcPr>
          <w:p w:rsidR="00B95D49" w:rsidRPr="00B95D49" w:rsidRDefault="00B95D49" w:rsidP="00B95D49">
            <w:pPr>
              <w:jc w:val="center"/>
              <w:rPr>
                <w:color w:val="000000"/>
                <w:szCs w:val="22"/>
              </w:rPr>
            </w:pPr>
            <w:r w:rsidRPr="00B95D49">
              <w:rPr>
                <w:color w:val="000000"/>
                <w:szCs w:val="22"/>
              </w:rPr>
              <w:t>503.2</w:t>
            </w:r>
          </w:p>
        </w:tc>
      </w:tr>
    </w:tbl>
    <w:p w:rsidR="00FF337F" w:rsidRPr="006A21C2" w:rsidRDefault="00FF337F" w:rsidP="00D77C36">
      <w:pPr>
        <w:pStyle w:val="BodyText"/>
        <w:rPr>
          <w:sz w:val="16"/>
          <w:szCs w:val="16"/>
        </w:rPr>
      </w:pPr>
      <w:r w:rsidRPr="006A21C2">
        <w:rPr>
          <w:sz w:val="16"/>
          <w:szCs w:val="16"/>
        </w:rPr>
        <w:lastRenderedPageBreak/>
        <w:t>Source: AECOM, DOT</w:t>
      </w:r>
    </w:p>
    <w:p w:rsidR="00D77C36" w:rsidRPr="00323D5D" w:rsidRDefault="00D77C36" w:rsidP="006A21C2">
      <w:pPr>
        <w:pStyle w:val="Heading2"/>
      </w:pPr>
      <w:bookmarkStart w:id="149" w:name="_Toc448780342"/>
      <w:r w:rsidRPr="00323D5D">
        <w:t>Environmental Outcomes</w:t>
      </w:r>
      <w:bookmarkEnd w:id="149"/>
    </w:p>
    <w:p w:rsidR="00E20F7E" w:rsidRPr="00323D5D" w:rsidRDefault="00E20F7E" w:rsidP="006A21C2">
      <w:pPr>
        <w:pStyle w:val="Heading3"/>
      </w:pPr>
      <w:bookmarkStart w:id="150" w:name="_Toc448780343"/>
      <w:r w:rsidRPr="00323D5D">
        <w:t>Emissions Reduction</w:t>
      </w:r>
      <w:bookmarkEnd w:id="150"/>
      <w:r w:rsidRPr="00323D5D">
        <w:t xml:space="preserve"> </w:t>
      </w:r>
    </w:p>
    <w:p w:rsidR="004F0BBB" w:rsidRPr="00323D5D" w:rsidRDefault="00E20F7E" w:rsidP="004F0BBB">
      <w:pPr>
        <w:pStyle w:val="BodyText"/>
        <w:jc w:val="left"/>
      </w:pPr>
      <w:r w:rsidRPr="00323D5D">
        <w:t xml:space="preserve">The reduction in emissions between the baseline and build scenarios was estimated for personal vehicles, commercial trucks and </w:t>
      </w:r>
      <w:proofErr w:type="spellStart"/>
      <w:r w:rsidRPr="00323D5D">
        <w:t>Bustang</w:t>
      </w:r>
      <w:proofErr w:type="spellEnd"/>
      <w:r w:rsidRPr="00323D5D">
        <w:t xml:space="preserve"> express bus.  Reduction in emissions was calculated </w:t>
      </w:r>
      <w:r w:rsidR="00616A49" w:rsidRPr="00323D5D">
        <w:t>through the evaluation of the decrease</w:t>
      </w:r>
      <w:r w:rsidRPr="00323D5D">
        <w:t xml:space="preserve"> in vehicle hours across all </w:t>
      </w:r>
      <w:r w:rsidR="004F0BBB" w:rsidRPr="00323D5D">
        <w:t>vehicl</w:t>
      </w:r>
      <w:r w:rsidRPr="00323D5D">
        <w:t>e types</w:t>
      </w:r>
      <w:r w:rsidR="004F0BBB" w:rsidRPr="00323D5D">
        <w:t xml:space="preserve"> in the build scenari</w:t>
      </w:r>
      <w:r w:rsidR="00184258">
        <w:t>o.  A</w:t>
      </w:r>
      <w:r w:rsidR="004F0BBB" w:rsidRPr="00323D5D">
        <w:t xml:space="preserve"> summary of the emissions reduction associated with a reduction in vehicle operating hours is shown in Table </w:t>
      </w:r>
      <w:r w:rsidR="00184258">
        <w:t>2</w:t>
      </w:r>
      <w:r w:rsidR="00F3566B">
        <w:t>4</w:t>
      </w:r>
      <w:r w:rsidR="008D3393" w:rsidRPr="00323D5D">
        <w:t>.</w:t>
      </w:r>
    </w:p>
    <w:p w:rsidR="008D3393" w:rsidRPr="00323D5D" w:rsidRDefault="008D3393" w:rsidP="008D3393">
      <w:pPr>
        <w:pStyle w:val="BodyText"/>
        <w:spacing w:after="0"/>
        <w:jc w:val="center"/>
        <w:rPr>
          <w:b/>
          <w:sz w:val="18"/>
          <w:szCs w:val="18"/>
        </w:rPr>
      </w:pPr>
      <w:r w:rsidRPr="00323D5D">
        <w:rPr>
          <w:b/>
          <w:sz w:val="18"/>
          <w:szCs w:val="18"/>
        </w:rPr>
        <w:t xml:space="preserve">Table </w:t>
      </w:r>
      <w:r w:rsidR="00184258">
        <w:rPr>
          <w:b/>
          <w:sz w:val="18"/>
          <w:szCs w:val="18"/>
        </w:rPr>
        <w:t>2</w:t>
      </w:r>
      <w:r w:rsidR="00F3566B">
        <w:rPr>
          <w:b/>
          <w:sz w:val="18"/>
          <w:szCs w:val="18"/>
        </w:rPr>
        <w:t>4</w:t>
      </w:r>
      <w:r w:rsidRPr="00323D5D">
        <w:rPr>
          <w:b/>
          <w:sz w:val="18"/>
          <w:szCs w:val="18"/>
        </w:rPr>
        <w:t xml:space="preserve">: Emissions Avoided Due to Reduction in Vehicle Operating </w:t>
      </w:r>
      <w:r w:rsidR="00E7271F" w:rsidRPr="00323D5D">
        <w:rPr>
          <w:b/>
          <w:sz w:val="18"/>
          <w:szCs w:val="18"/>
        </w:rPr>
        <w:t>Hours (</w:t>
      </w:r>
      <w:r w:rsidRPr="00323D5D">
        <w:rPr>
          <w:b/>
          <w:sz w:val="18"/>
          <w:szCs w:val="18"/>
        </w:rPr>
        <w:t>2021-2040)</w:t>
      </w:r>
    </w:p>
    <w:tbl>
      <w:tblPr>
        <w:tblW w:w="5000" w:type="pct"/>
        <w:tblLook w:val="04A0" w:firstRow="1" w:lastRow="0" w:firstColumn="1" w:lastColumn="0" w:noHBand="0" w:noVBand="1"/>
      </w:tblPr>
      <w:tblGrid>
        <w:gridCol w:w="2073"/>
        <w:gridCol w:w="1227"/>
        <w:gridCol w:w="1228"/>
        <w:gridCol w:w="1228"/>
        <w:gridCol w:w="1228"/>
        <w:gridCol w:w="1228"/>
        <w:gridCol w:w="1364"/>
      </w:tblGrid>
      <w:tr w:rsidR="00D37C8B" w:rsidRPr="00323D5D" w:rsidTr="00063D7B">
        <w:trPr>
          <w:trHeight w:val="288"/>
        </w:trPr>
        <w:tc>
          <w:tcPr>
            <w:tcW w:w="1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rPr>
                <w:color w:val="000000"/>
                <w:szCs w:val="22"/>
              </w:rPr>
            </w:pPr>
            <w:r w:rsidRPr="00323D5D">
              <w:rPr>
                <w:color w:val="000000"/>
                <w:szCs w:val="22"/>
              </w:rPr>
              <w:t> </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right"/>
              <w:rPr>
                <w:b/>
                <w:bCs/>
                <w:color w:val="000000"/>
                <w:szCs w:val="22"/>
              </w:rPr>
            </w:pPr>
            <w:r w:rsidRPr="00323D5D">
              <w:rPr>
                <w:b/>
                <w:bCs/>
                <w:color w:val="000000"/>
                <w:szCs w:val="22"/>
              </w:rPr>
              <w:t>2021</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right"/>
              <w:rPr>
                <w:b/>
                <w:bCs/>
                <w:color w:val="000000"/>
                <w:szCs w:val="22"/>
              </w:rPr>
            </w:pPr>
            <w:r w:rsidRPr="00323D5D">
              <w:rPr>
                <w:b/>
                <w:bCs/>
                <w:color w:val="000000"/>
                <w:szCs w:val="22"/>
              </w:rPr>
              <w:t>2025</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right"/>
              <w:rPr>
                <w:b/>
                <w:bCs/>
                <w:color w:val="000000"/>
                <w:szCs w:val="22"/>
              </w:rPr>
            </w:pPr>
            <w:r w:rsidRPr="00323D5D">
              <w:rPr>
                <w:b/>
                <w:bCs/>
                <w:color w:val="000000"/>
                <w:szCs w:val="22"/>
              </w:rPr>
              <w:t>2030</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right"/>
              <w:rPr>
                <w:b/>
                <w:bCs/>
                <w:color w:val="000000"/>
                <w:szCs w:val="22"/>
              </w:rPr>
            </w:pPr>
            <w:r w:rsidRPr="00323D5D">
              <w:rPr>
                <w:b/>
                <w:bCs/>
                <w:color w:val="000000"/>
                <w:szCs w:val="22"/>
              </w:rPr>
              <w:t>2035</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right"/>
              <w:rPr>
                <w:b/>
                <w:bCs/>
                <w:color w:val="000000"/>
                <w:szCs w:val="22"/>
              </w:rPr>
            </w:pPr>
            <w:r w:rsidRPr="00323D5D">
              <w:rPr>
                <w:b/>
                <w:bCs/>
                <w:color w:val="000000"/>
                <w:szCs w:val="22"/>
              </w:rPr>
              <w:t>2040</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D37C8B" w:rsidRPr="00323D5D" w:rsidRDefault="00D37C8B" w:rsidP="00D37C8B">
            <w:pPr>
              <w:spacing w:line="240" w:lineRule="auto"/>
              <w:jc w:val="center"/>
              <w:rPr>
                <w:b/>
                <w:bCs/>
                <w:color w:val="000000"/>
                <w:szCs w:val="22"/>
              </w:rPr>
            </w:pPr>
            <w:r w:rsidRPr="00323D5D">
              <w:rPr>
                <w:b/>
                <w:bCs/>
                <w:color w:val="000000"/>
                <w:szCs w:val="22"/>
              </w:rPr>
              <w:t xml:space="preserve">Total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CO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29.96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46.77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44.23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44.31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42.03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853.05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NOX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3.71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5.44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4.97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4.79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4.41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95.59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PM2.5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0.06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0.09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0.09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0.08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0.08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1.69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PM10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0.10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0.19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0.15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0.15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0.11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2.89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SO2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0.12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0.36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0.16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0.16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0.13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3.84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VOC (short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99.92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295.54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241.51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241.51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221.00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4,666.92 </w:t>
            </w:r>
          </w:p>
        </w:tc>
      </w:tr>
      <w:tr w:rsidR="00D37C8B" w:rsidRPr="00323D5D" w:rsidTr="00063D7B">
        <w:trPr>
          <w:trHeight w:val="288"/>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CO2 (metric tons)</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1,290.21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1,780.04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1,800.93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1,791.41 </w:t>
            </w:r>
          </w:p>
        </w:tc>
        <w:tc>
          <w:tcPr>
            <w:tcW w:w="641"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1,707.18 </w:t>
            </w:r>
          </w:p>
        </w:tc>
        <w:tc>
          <w:tcPr>
            <w:tcW w:w="712" w:type="pct"/>
            <w:tcBorders>
              <w:top w:val="nil"/>
              <w:left w:val="nil"/>
              <w:bottom w:val="single" w:sz="4" w:space="0" w:color="auto"/>
              <w:right w:val="single" w:sz="4" w:space="0" w:color="auto"/>
            </w:tcBorders>
            <w:shd w:val="clear" w:color="auto" w:fill="auto"/>
            <w:noWrap/>
            <w:vAlign w:val="bottom"/>
            <w:hideMark/>
          </w:tcPr>
          <w:p w:rsidR="00D37C8B" w:rsidRPr="0015783E" w:rsidRDefault="00D37C8B" w:rsidP="00D37C8B">
            <w:pPr>
              <w:spacing w:line="240" w:lineRule="auto"/>
              <w:rPr>
                <w:color w:val="000000"/>
                <w:szCs w:val="22"/>
              </w:rPr>
            </w:pPr>
            <w:r w:rsidRPr="0015783E">
              <w:rPr>
                <w:color w:val="000000"/>
                <w:szCs w:val="22"/>
              </w:rPr>
              <w:t xml:space="preserve">  34,319.27 </w:t>
            </w:r>
          </w:p>
        </w:tc>
      </w:tr>
    </w:tbl>
    <w:p w:rsidR="004F0BBB" w:rsidRPr="006A21C2" w:rsidRDefault="00063D7B" w:rsidP="00063D7B">
      <w:pPr>
        <w:pStyle w:val="BodyText"/>
        <w:spacing w:after="0"/>
        <w:jc w:val="left"/>
        <w:rPr>
          <w:sz w:val="16"/>
          <w:szCs w:val="16"/>
        </w:rPr>
      </w:pPr>
      <w:r w:rsidRPr="006A21C2">
        <w:rPr>
          <w:sz w:val="16"/>
          <w:szCs w:val="16"/>
        </w:rPr>
        <w:t>Source: AECOM, DOT</w:t>
      </w:r>
    </w:p>
    <w:p w:rsidR="00063D7B" w:rsidRPr="00323D5D" w:rsidRDefault="00063D7B" w:rsidP="00063D7B">
      <w:pPr>
        <w:pStyle w:val="BodyText"/>
        <w:spacing w:after="0"/>
        <w:jc w:val="left"/>
        <w:rPr>
          <w:sz w:val="18"/>
          <w:szCs w:val="18"/>
        </w:rPr>
      </w:pPr>
    </w:p>
    <w:p w:rsidR="004F0BBB" w:rsidRPr="00323D5D" w:rsidRDefault="004F0BBB" w:rsidP="004F0BBB">
      <w:pPr>
        <w:pStyle w:val="BodyText"/>
        <w:jc w:val="left"/>
      </w:pPr>
      <w:r w:rsidRPr="00323D5D">
        <w:t xml:space="preserve">The travel demand modelling shows substantial mode shift from single passenger vehicle to either </w:t>
      </w:r>
      <w:r w:rsidR="00184258">
        <w:t>carpooling (</w:t>
      </w:r>
      <w:r w:rsidRPr="00323D5D">
        <w:t>HOV</w:t>
      </w:r>
      <w:r w:rsidR="004929C1">
        <w:t>3+</w:t>
      </w:r>
      <w:r w:rsidR="00184258">
        <w:t>)</w:t>
      </w:r>
      <w:r w:rsidRPr="00323D5D">
        <w:t xml:space="preserve"> </w:t>
      </w:r>
      <w:r w:rsidR="0015783E">
        <w:t xml:space="preserve">, </w:t>
      </w:r>
      <w:r w:rsidR="004929C1">
        <w:t xml:space="preserve">to </w:t>
      </w:r>
      <w:proofErr w:type="spellStart"/>
      <w:r w:rsidRPr="00323D5D">
        <w:t>Bustang</w:t>
      </w:r>
      <w:proofErr w:type="spellEnd"/>
      <w:r w:rsidRPr="00323D5D">
        <w:t xml:space="preserve"> express bus </w:t>
      </w:r>
      <w:r w:rsidR="0015783E">
        <w:t xml:space="preserve">and to bicycle </w:t>
      </w:r>
      <w:r w:rsidRPr="00323D5D">
        <w:t xml:space="preserve">resulting in an avoidance of </w:t>
      </w:r>
      <w:r w:rsidR="0015783E">
        <w:t xml:space="preserve">more than </w:t>
      </w:r>
      <w:r w:rsidRPr="00323D5D">
        <w:t>2</w:t>
      </w:r>
      <w:r w:rsidR="0015783E">
        <w:t>6</w:t>
      </w:r>
      <w:r w:rsidRPr="00323D5D">
        <w:t xml:space="preserve">0 million vehicle miles travelled as compared to the baseline scenario across the duration of the assessment period. </w:t>
      </w:r>
      <w:r w:rsidR="000F25BE" w:rsidRPr="00323D5D">
        <w:t xml:space="preserve">  A summary of emissions avoided as per a reduction in VMT due to </w:t>
      </w:r>
      <w:r w:rsidR="004929C1">
        <w:t xml:space="preserve">this </w:t>
      </w:r>
      <w:r w:rsidR="000F25BE" w:rsidRPr="00323D5D">
        <w:t xml:space="preserve">mode shift is shown in Table </w:t>
      </w:r>
      <w:r w:rsidR="00184258">
        <w:t>2</w:t>
      </w:r>
      <w:r w:rsidR="00F3566B">
        <w:t>5</w:t>
      </w:r>
      <w:r w:rsidR="000F25BE" w:rsidRPr="00323D5D">
        <w:t>.</w:t>
      </w:r>
    </w:p>
    <w:p w:rsidR="008D3393" w:rsidRPr="00323D5D" w:rsidRDefault="008D3393" w:rsidP="008D3393">
      <w:pPr>
        <w:pStyle w:val="BodyText"/>
        <w:spacing w:after="0"/>
        <w:jc w:val="center"/>
        <w:rPr>
          <w:b/>
          <w:sz w:val="18"/>
          <w:szCs w:val="18"/>
        </w:rPr>
      </w:pPr>
      <w:r w:rsidRPr="00323D5D">
        <w:rPr>
          <w:b/>
          <w:sz w:val="18"/>
          <w:szCs w:val="18"/>
        </w:rPr>
        <w:t xml:space="preserve">Table </w:t>
      </w:r>
      <w:r w:rsidR="00184258">
        <w:rPr>
          <w:b/>
          <w:sz w:val="18"/>
          <w:szCs w:val="18"/>
        </w:rPr>
        <w:t>2</w:t>
      </w:r>
      <w:r w:rsidR="00F3566B">
        <w:rPr>
          <w:b/>
          <w:sz w:val="18"/>
          <w:szCs w:val="18"/>
        </w:rPr>
        <w:t>5</w:t>
      </w:r>
      <w:r w:rsidRPr="00323D5D">
        <w:rPr>
          <w:b/>
          <w:sz w:val="18"/>
          <w:szCs w:val="18"/>
        </w:rPr>
        <w:t>: Emissions Avoided Due to Vehicle Miles Travelled Avoided (2021-2040)</w:t>
      </w:r>
    </w:p>
    <w:tbl>
      <w:tblPr>
        <w:tblW w:w="5000" w:type="pct"/>
        <w:tblLook w:val="04A0" w:firstRow="1" w:lastRow="0" w:firstColumn="1" w:lastColumn="0" w:noHBand="0" w:noVBand="1"/>
      </w:tblPr>
      <w:tblGrid>
        <w:gridCol w:w="1873"/>
        <w:gridCol w:w="1465"/>
        <w:gridCol w:w="1279"/>
        <w:gridCol w:w="1279"/>
        <w:gridCol w:w="1279"/>
        <w:gridCol w:w="1280"/>
        <w:gridCol w:w="1121"/>
      </w:tblGrid>
      <w:tr w:rsidR="00D37C8B" w:rsidRPr="00323D5D" w:rsidTr="00F94FC0">
        <w:trPr>
          <w:trHeight w:val="300"/>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rPr>
                <w:color w:val="000000"/>
                <w:szCs w:val="22"/>
              </w:rPr>
            </w:pPr>
            <w:r w:rsidRPr="00F94FC0">
              <w:rPr>
                <w:color w:val="000000"/>
                <w:szCs w:val="22"/>
              </w:rPr>
              <w:t> </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right"/>
              <w:rPr>
                <w:b/>
                <w:bCs/>
                <w:color w:val="000000"/>
                <w:szCs w:val="22"/>
              </w:rPr>
            </w:pPr>
            <w:r w:rsidRPr="00F94FC0">
              <w:rPr>
                <w:b/>
                <w:bCs/>
                <w:color w:val="000000"/>
                <w:szCs w:val="22"/>
              </w:rPr>
              <w:t>2021</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right"/>
              <w:rPr>
                <w:b/>
                <w:bCs/>
                <w:color w:val="000000"/>
                <w:szCs w:val="22"/>
              </w:rPr>
            </w:pPr>
            <w:r w:rsidRPr="00F94FC0">
              <w:rPr>
                <w:b/>
                <w:bCs/>
                <w:color w:val="000000"/>
                <w:szCs w:val="22"/>
              </w:rPr>
              <w:t>2025</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right"/>
              <w:rPr>
                <w:b/>
                <w:bCs/>
                <w:color w:val="000000"/>
                <w:szCs w:val="22"/>
              </w:rPr>
            </w:pPr>
            <w:r w:rsidRPr="00F94FC0">
              <w:rPr>
                <w:b/>
                <w:bCs/>
                <w:color w:val="000000"/>
                <w:szCs w:val="22"/>
              </w:rPr>
              <w:t>2030</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right"/>
              <w:rPr>
                <w:b/>
                <w:bCs/>
                <w:color w:val="000000"/>
                <w:szCs w:val="22"/>
              </w:rPr>
            </w:pPr>
            <w:r w:rsidRPr="00F94FC0">
              <w:rPr>
                <w:b/>
                <w:bCs/>
                <w:color w:val="000000"/>
                <w:szCs w:val="22"/>
              </w:rPr>
              <w:t>2035</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right"/>
              <w:rPr>
                <w:b/>
                <w:bCs/>
                <w:color w:val="000000"/>
                <w:szCs w:val="22"/>
              </w:rPr>
            </w:pPr>
            <w:r w:rsidRPr="00F94FC0">
              <w:rPr>
                <w:b/>
                <w:bCs/>
                <w:color w:val="000000"/>
                <w:szCs w:val="22"/>
              </w:rPr>
              <w:t>2040</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rsidR="00D37C8B" w:rsidRPr="00F94FC0" w:rsidRDefault="00D37C8B" w:rsidP="00D37C8B">
            <w:pPr>
              <w:spacing w:line="240" w:lineRule="auto"/>
              <w:jc w:val="center"/>
              <w:rPr>
                <w:b/>
                <w:bCs/>
                <w:color w:val="000000"/>
                <w:szCs w:val="22"/>
              </w:rPr>
            </w:pPr>
            <w:r w:rsidRPr="00F94FC0">
              <w:rPr>
                <w:b/>
                <w:bCs/>
                <w:color w:val="000000"/>
                <w:szCs w:val="22"/>
              </w:rPr>
              <w:t xml:space="preserve">Total </w:t>
            </w:r>
          </w:p>
        </w:tc>
      </w:tr>
      <w:tr w:rsidR="00F94FC0" w:rsidRPr="00323D5D" w:rsidTr="00F94FC0">
        <w:trPr>
          <w:trHeight w:val="300"/>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F94FC0" w:rsidRPr="00F94FC0" w:rsidRDefault="00F94FC0" w:rsidP="00D37C8B">
            <w:pPr>
              <w:spacing w:line="240" w:lineRule="auto"/>
              <w:rPr>
                <w:color w:val="000000"/>
                <w:szCs w:val="22"/>
              </w:rPr>
            </w:pPr>
            <w:r w:rsidRPr="00F94FC0">
              <w:rPr>
                <w:color w:val="000000"/>
                <w:szCs w:val="22"/>
              </w:rPr>
              <w:t>CO (short tons)</w:t>
            </w:r>
          </w:p>
        </w:tc>
        <w:tc>
          <w:tcPr>
            <w:tcW w:w="79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167.5</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134.5</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159.6</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182.9</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183.7</w:t>
            </w:r>
          </w:p>
        </w:tc>
        <w:tc>
          <w:tcPr>
            <w:tcW w:w="61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3,385.4</w:t>
            </w:r>
          </w:p>
        </w:tc>
      </w:tr>
      <w:tr w:rsidR="00F94FC0" w:rsidRPr="00323D5D" w:rsidTr="00F94FC0">
        <w:trPr>
          <w:trHeight w:val="300"/>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F94FC0" w:rsidRPr="00F94FC0" w:rsidRDefault="00F94FC0" w:rsidP="00D37C8B">
            <w:pPr>
              <w:spacing w:line="240" w:lineRule="auto"/>
              <w:rPr>
                <w:color w:val="000000"/>
                <w:szCs w:val="22"/>
              </w:rPr>
            </w:pPr>
            <w:r w:rsidRPr="00F94FC0">
              <w:rPr>
                <w:color w:val="000000"/>
                <w:szCs w:val="22"/>
              </w:rPr>
              <w:t>NOX (short tons)</w:t>
            </w:r>
          </w:p>
        </w:tc>
        <w:tc>
          <w:tcPr>
            <w:tcW w:w="79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9.1</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3.3</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3.9</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3.6</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3.6</w:t>
            </w:r>
          </w:p>
        </w:tc>
        <w:tc>
          <w:tcPr>
            <w:tcW w:w="61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98.6</w:t>
            </w:r>
          </w:p>
        </w:tc>
      </w:tr>
      <w:tr w:rsidR="00F94FC0" w:rsidRPr="00323D5D" w:rsidTr="00F94FC0">
        <w:trPr>
          <w:trHeight w:val="300"/>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F94FC0" w:rsidRPr="00F94FC0" w:rsidRDefault="00F94FC0" w:rsidP="00D37C8B">
            <w:pPr>
              <w:spacing w:line="240" w:lineRule="auto"/>
              <w:rPr>
                <w:color w:val="000000"/>
                <w:szCs w:val="22"/>
              </w:rPr>
            </w:pPr>
            <w:r w:rsidRPr="00F94FC0">
              <w:rPr>
                <w:color w:val="000000"/>
                <w:szCs w:val="22"/>
              </w:rPr>
              <w:t>PM2.5 (short tons)</w:t>
            </w:r>
          </w:p>
        </w:tc>
        <w:tc>
          <w:tcPr>
            <w:tcW w:w="79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0.1</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0.1</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0.1</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0.2</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0.2</w:t>
            </w:r>
          </w:p>
        </w:tc>
        <w:tc>
          <w:tcPr>
            <w:tcW w:w="61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2.9</w:t>
            </w:r>
          </w:p>
        </w:tc>
      </w:tr>
      <w:tr w:rsidR="00F94FC0" w:rsidRPr="00323D5D" w:rsidTr="00F94FC0">
        <w:trPr>
          <w:trHeight w:val="300"/>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F94FC0" w:rsidRPr="00F94FC0" w:rsidRDefault="00F94FC0" w:rsidP="00D37C8B">
            <w:pPr>
              <w:spacing w:line="240" w:lineRule="auto"/>
              <w:rPr>
                <w:color w:val="000000"/>
                <w:szCs w:val="22"/>
              </w:rPr>
            </w:pPr>
            <w:r w:rsidRPr="00F94FC0">
              <w:rPr>
                <w:color w:val="000000"/>
                <w:szCs w:val="22"/>
              </w:rPr>
              <w:t>PM10 (short tons)</w:t>
            </w:r>
          </w:p>
        </w:tc>
        <w:tc>
          <w:tcPr>
            <w:tcW w:w="79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1.6</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1.2</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1.4</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0.9</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0.9</w:t>
            </w:r>
          </w:p>
        </w:tc>
        <w:tc>
          <w:tcPr>
            <w:tcW w:w="61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25.9</w:t>
            </w:r>
          </w:p>
        </w:tc>
      </w:tr>
      <w:tr w:rsidR="00F94FC0" w:rsidRPr="00323D5D" w:rsidTr="00F94FC0">
        <w:trPr>
          <w:trHeight w:val="288"/>
        </w:trPr>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F94FC0" w:rsidRPr="00F94FC0" w:rsidRDefault="00F94FC0" w:rsidP="00D37C8B">
            <w:pPr>
              <w:spacing w:line="240" w:lineRule="auto"/>
              <w:rPr>
                <w:color w:val="000000"/>
                <w:szCs w:val="22"/>
              </w:rPr>
            </w:pPr>
            <w:r w:rsidRPr="00F94FC0">
              <w:rPr>
                <w:color w:val="000000"/>
                <w:szCs w:val="22"/>
              </w:rPr>
              <w:t>VOC (short tons)</w:t>
            </w:r>
          </w:p>
        </w:tc>
        <w:tc>
          <w:tcPr>
            <w:tcW w:w="79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6.0</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3.2</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3.8</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3.7</w:t>
            </w:r>
          </w:p>
        </w:tc>
        <w:tc>
          <w:tcPr>
            <w:tcW w:w="693"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3.8</w:t>
            </w:r>
          </w:p>
        </w:tc>
        <w:tc>
          <w:tcPr>
            <w:tcW w:w="610" w:type="pct"/>
            <w:tcBorders>
              <w:top w:val="nil"/>
              <w:left w:val="nil"/>
              <w:bottom w:val="single" w:sz="4" w:space="0" w:color="auto"/>
              <w:right w:val="single" w:sz="4" w:space="0" w:color="auto"/>
            </w:tcBorders>
            <w:shd w:val="clear" w:color="auto" w:fill="auto"/>
            <w:noWrap/>
            <w:vAlign w:val="bottom"/>
            <w:hideMark/>
          </w:tcPr>
          <w:p w:rsidR="00F94FC0" w:rsidRPr="00F94FC0" w:rsidRDefault="00F94FC0" w:rsidP="00F94FC0">
            <w:pPr>
              <w:jc w:val="center"/>
              <w:rPr>
                <w:color w:val="000000"/>
                <w:szCs w:val="22"/>
              </w:rPr>
            </w:pPr>
            <w:r w:rsidRPr="00F94FC0">
              <w:rPr>
                <w:color w:val="000000"/>
                <w:szCs w:val="22"/>
              </w:rPr>
              <w:t>85.1</w:t>
            </w:r>
          </w:p>
        </w:tc>
      </w:tr>
      <w:tr w:rsidR="00D37C8B" w:rsidRPr="00323D5D" w:rsidTr="00F94FC0">
        <w:trPr>
          <w:trHeight w:val="377"/>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37C8B" w:rsidRPr="00F94FC0" w:rsidRDefault="00D37C8B" w:rsidP="00F94FC0">
            <w:pPr>
              <w:spacing w:line="240" w:lineRule="auto"/>
              <w:jc w:val="center"/>
              <w:rPr>
                <w:color w:val="000000"/>
                <w:szCs w:val="22"/>
              </w:rPr>
            </w:pPr>
            <w:r w:rsidRPr="00F94FC0">
              <w:rPr>
                <w:color w:val="000000"/>
                <w:szCs w:val="22"/>
              </w:rPr>
              <w:t>CO2 (metric tons)</w:t>
            </w:r>
          </w:p>
        </w:tc>
        <w:tc>
          <w:tcPr>
            <w:tcW w:w="790"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4,821.4</w:t>
            </w:r>
          </w:p>
        </w:tc>
        <w:tc>
          <w:tcPr>
            <w:tcW w:w="693"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4,621.6</w:t>
            </w:r>
          </w:p>
        </w:tc>
        <w:tc>
          <w:tcPr>
            <w:tcW w:w="693"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5,484.2</w:t>
            </w:r>
          </w:p>
        </w:tc>
        <w:tc>
          <w:tcPr>
            <w:tcW w:w="693"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6,421.9</w:t>
            </w:r>
          </w:p>
        </w:tc>
        <w:tc>
          <w:tcPr>
            <w:tcW w:w="693"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6,449.3</w:t>
            </w:r>
          </w:p>
        </w:tc>
        <w:tc>
          <w:tcPr>
            <w:tcW w:w="610" w:type="pct"/>
            <w:tcBorders>
              <w:top w:val="nil"/>
              <w:left w:val="nil"/>
              <w:bottom w:val="single" w:sz="4" w:space="0" w:color="auto"/>
              <w:right w:val="single" w:sz="4" w:space="0" w:color="auto"/>
            </w:tcBorders>
            <w:shd w:val="clear" w:color="auto" w:fill="auto"/>
            <w:noWrap/>
            <w:vAlign w:val="bottom"/>
            <w:hideMark/>
          </w:tcPr>
          <w:p w:rsidR="00D37C8B" w:rsidRPr="00F94FC0" w:rsidRDefault="00F94FC0" w:rsidP="00F94FC0">
            <w:pPr>
              <w:jc w:val="center"/>
              <w:rPr>
                <w:color w:val="000000"/>
                <w:szCs w:val="22"/>
              </w:rPr>
            </w:pPr>
            <w:r w:rsidRPr="00F94FC0">
              <w:rPr>
                <w:color w:val="000000"/>
                <w:szCs w:val="22"/>
              </w:rPr>
              <w:t>113,145.8</w:t>
            </w:r>
          </w:p>
        </w:tc>
      </w:tr>
    </w:tbl>
    <w:p w:rsidR="008D3393" w:rsidRPr="00323D5D" w:rsidRDefault="00D31BF2" w:rsidP="00D31BF2">
      <w:pPr>
        <w:pStyle w:val="BodyText"/>
        <w:spacing w:after="0"/>
        <w:jc w:val="left"/>
        <w:rPr>
          <w:sz w:val="18"/>
          <w:szCs w:val="18"/>
        </w:rPr>
      </w:pPr>
      <w:r w:rsidRPr="00323D5D">
        <w:rPr>
          <w:sz w:val="18"/>
          <w:szCs w:val="18"/>
        </w:rPr>
        <w:t>Source: AECOM, DOT</w:t>
      </w:r>
    </w:p>
    <w:p w:rsidR="00160EDE" w:rsidRDefault="00160EDE" w:rsidP="006E710B">
      <w:pPr>
        <w:pStyle w:val="BodyText"/>
      </w:pPr>
    </w:p>
    <w:p w:rsidR="00160EDE" w:rsidRDefault="00160EDE" w:rsidP="006E710B">
      <w:pPr>
        <w:pStyle w:val="BodyText"/>
      </w:pPr>
    </w:p>
    <w:p w:rsidR="00541990" w:rsidRDefault="00541990" w:rsidP="006E710B">
      <w:pPr>
        <w:pStyle w:val="BodyText"/>
      </w:pPr>
    </w:p>
    <w:p w:rsidR="00541990" w:rsidRDefault="00541990" w:rsidP="006E710B">
      <w:pPr>
        <w:pStyle w:val="BodyText"/>
      </w:pPr>
    </w:p>
    <w:p w:rsidR="00541990" w:rsidRDefault="00541990" w:rsidP="006E710B">
      <w:pPr>
        <w:pStyle w:val="BodyText"/>
      </w:pPr>
    </w:p>
    <w:p w:rsidR="00541990" w:rsidRDefault="00541990" w:rsidP="006E710B">
      <w:pPr>
        <w:pStyle w:val="BodyText"/>
      </w:pPr>
    </w:p>
    <w:p w:rsidR="002B0734" w:rsidRPr="00323D5D" w:rsidRDefault="00B51C00">
      <w:pPr>
        <w:pStyle w:val="Heading1"/>
        <w:rPr>
          <w:rFonts w:ascii="Times New Roman" w:hAnsi="Times New Roman" w:cs="Times New Roman"/>
        </w:rPr>
      </w:pPr>
      <w:bookmarkStart w:id="151" w:name="_Toc448780344"/>
      <w:r w:rsidRPr="00323D5D">
        <w:rPr>
          <w:rFonts w:ascii="Times New Roman" w:hAnsi="Times New Roman" w:cs="Times New Roman"/>
        </w:rPr>
        <w:lastRenderedPageBreak/>
        <w:t>Costs Analysis</w:t>
      </w:r>
      <w:bookmarkEnd w:id="151"/>
      <w:r w:rsidRPr="00323D5D">
        <w:rPr>
          <w:rFonts w:ascii="Times New Roman" w:hAnsi="Times New Roman" w:cs="Times New Roman"/>
        </w:rPr>
        <w:t xml:space="preserve"> </w:t>
      </w:r>
    </w:p>
    <w:p w:rsidR="00E42519" w:rsidRPr="00323D5D" w:rsidRDefault="00E42519" w:rsidP="00E42519">
      <w:pPr>
        <w:pStyle w:val="BodyText"/>
      </w:pPr>
      <w:r w:rsidRPr="00323D5D">
        <w:t xml:space="preserve">The costs assessed in this analysis comprise </w:t>
      </w:r>
      <w:r w:rsidR="00E61697">
        <w:t>capital costs and those associated with the operation and maintenance of the general purpose and managed lanes, bridges and other structures within the assessment corridor.  C</w:t>
      </w:r>
      <w:r w:rsidRPr="00323D5D">
        <w:t xml:space="preserve">apital costs </w:t>
      </w:r>
      <w:r w:rsidR="00E61697">
        <w:t xml:space="preserve">are those </w:t>
      </w:r>
      <w:r w:rsidRPr="00323D5D">
        <w:t>associated with the construction of the widening of I-25 to accommodate managed lanes (including the widening and replacement of four bridges within the assessment corridor</w:t>
      </w:r>
      <w:r w:rsidR="00E61697">
        <w:t>, as well as other general civil works</w:t>
      </w:r>
      <w:r w:rsidRPr="00323D5D">
        <w:t>) which will be incurred prior to the widened corridor’s operation.</w:t>
      </w:r>
      <w:r w:rsidR="00B95D49">
        <w:t xml:space="preserve">  The capital costs also include the construction of an approximately one mile segment of bike trail which crosses beneath the Cache Le Poudre </w:t>
      </w:r>
      <w:r w:rsidRPr="00323D5D">
        <w:t xml:space="preserve"> </w:t>
      </w:r>
      <w:r w:rsidR="00B95D49">
        <w:t xml:space="preserve">River bridges and which completes the trail network connecting Fort Collins with Windsor and Greeley.  </w:t>
      </w:r>
      <w:r w:rsidRPr="00323D5D">
        <w:t>This</w:t>
      </w:r>
      <w:r w:rsidR="00B95D49">
        <w:t xml:space="preserve"> </w:t>
      </w:r>
      <w:proofErr w:type="gramStart"/>
      <w:r w:rsidR="00B95D49">
        <w:t xml:space="preserve">total </w:t>
      </w:r>
      <w:r w:rsidRPr="00323D5D">
        <w:t xml:space="preserve"> initial</w:t>
      </w:r>
      <w:proofErr w:type="gramEnd"/>
      <w:r w:rsidRPr="00323D5D">
        <w:t xml:space="preserve"> capital outlay is </w:t>
      </w:r>
      <w:r w:rsidRPr="00B95D49">
        <w:t>estimated at approximately $23</w:t>
      </w:r>
      <w:r w:rsidR="00B95D49" w:rsidRPr="00B95D49">
        <w:t>5.7</w:t>
      </w:r>
      <w:r w:rsidRPr="00B95D49">
        <w:t xml:space="preserve"> million in 2016</w:t>
      </w:r>
      <w:r w:rsidRPr="00323D5D">
        <w:t xml:space="preserve"> dollars. </w:t>
      </w:r>
    </w:p>
    <w:p w:rsidR="00E61697" w:rsidRDefault="00E42519" w:rsidP="00E42519">
      <w:pPr>
        <w:pStyle w:val="BodyText"/>
      </w:pPr>
      <w:r w:rsidRPr="00323D5D">
        <w:t xml:space="preserve">Operation and maintenance costs in the analysis represent those incurred on an annual basis for the inspection, upkeep and scheduled repair of general purpose and managed lanes as well as structures within the assessment corridor. </w:t>
      </w:r>
      <w:r w:rsidR="00E61697">
        <w:t xml:space="preserve">  </w:t>
      </w:r>
    </w:p>
    <w:p w:rsidR="00E42519" w:rsidRPr="00323D5D" w:rsidRDefault="00E61697" w:rsidP="00E42519">
      <w:pPr>
        <w:pStyle w:val="BodyText"/>
      </w:pPr>
      <w:r>
        <w:t xml:space="preserve">Additional costs include asset renewal – specifically the replacement of a section of general purpose lane in the year 2031 at the conclusion of this section’s useful life. </w:t>
      </w:r>
      <w:r w:rsidR="00E42519" w:rsidRPr="00323D5D">
        <w:t xml:space="preserve">  </w:t>
      </w:r>
    </w:p>
    <w:p w:rsidR="00B51C00" w:rsidRPr="00323D5D" w:rsidRDefault="00B51C00" w:rsidP="006A21C2">
      <w:pPr>
        <w:pStyle w:val="Heading2"/>
      </w:pPr>
      <w:bookmarkStart w:id="152" w:name="_Toc448780345"/>
      <w:r w:rsidRPr="00323D5D">
        <w:t xml:space="preserve">Initial Capital Costs for I-25 </w:t>
      </w:r>
      <w:r w:rsidR="00962481">
        <w:t>Project</w:t>
      </w:r>
      <w:bookmarkEnd w:id="152"/>
    </w:p>
    <w:p w:rsidR="00947130" w:rsidRPr="00323D5D" w:rsidRDefault="00E42519" w:rsidP="00E42519">
      <w:pPr>
        <w:pStyle w:val="BodyText"/>
      </w:pPr>
      <w:r w:rsidRPr="00323D5D">
        <w:t xml:space="preserve">Construction associated with the I-25 </w:t>
      </w:r>
      <w:r w:rsidR="00962481">
        <w:t xml:space="preserve">Project </w:t>
      </w:r>
      <w:r w:rsidRPr="00323D5D">
        <w:t>comprises several component</w:t>
      </w:r>
      <w:r w:rsidR="00947130" w:rsidRPr="00323D5D">
        <w:t xml:space="preserve">s which can be grouped into </w:t>
      </w:r>
      <w:r w:rsidRPr="00323D5D">
        <w:t xml:space="preserve">  </w:t>
      </w:r>
      <w:r w:rsidR="00947130" w:rsidRPr="00323D5D">
        <w:t>f</w:t>
      </w:r>
      <w:r w:rsidR="000702B7">
        <w:t xml:space="preserve">ive </w:t>
      </w:r>
      <w:r w:rsidR="00947130" w:rsidRPr="00323D5D">
        <w:t>categories: general purpose lanes, managed lanes, structures</w:t>
      </w:r>
      <w:r w:rsidR="000702B7">
        <w:t>,</w:t>
      </w:r>
      <w:r w:rsidR="00947130" w:rsidRPr="00323D5D">
        <w:t xml:space="preserve"> bus </w:t>
      </w:r>
      <w:r w:rsidR="000702B7">
        <w:t>related infrastructure and bike trail</w:t>
      </w:r>
      <w:r w:rsidR="00947130" w:rsidRPr="00323D5D">
        <w:t xml:space="preserve">.  Each of these categories and their various components are described below.  </w:t>
      </w:r>
      <w:r w:rsidR="00E61697">
        <w:t>O</w:t>
      </w:r>
      <w:r w:rsidR="00947130" w:rsidRPr="00323D5D">
        <w:t>verview</w:t>
      </w:r>
      <w:r w:rsidR="00E61697">
        <w:t>s</w:t>
      </w:r>
      <w:r w:rsidR="00947130" w:rsidRPr="00323D5D">
        <w:t xml:space="preserve"> of the </w:t>
      </w:r>
      <w:r w:rsidR="00E20B90" w:rsidRPr="00323D5D">
        <w:t xml:space="preserve">estimated </w:t>
      </w:r>
      <w:r w:rsidR="00947130" w:rsidRPr="00323D5D">
        <w:t xml:space="preserve">cost of each component </w:t>
      </w:r>
      <w:r w:rsidR="00E61697">
        <w:t xml:space="preserve">are </w:t>
      </w:r>
      <w:r w:rsidR="00947130" w:rsidRPr="00323D5D">
        <w:t xml:space="preserve">shown in Table </w:t>
      </w:r>
      <w:r w:rsidR="00E61697">
        <w:t>2</w:t>
      </w:r>
      <w:r w:rsidR="00F3566B">
        <w:t>6</w:t>
      </w:r>
      <w:r w:rsidR="00E61697" w:rsidRPr="00323D5D">
        <w:t xml:space="preserve"> </w:t>
      </w:r>
      <w:r w:rsidR="00E20B90" w:rsidRPr="00323D5D">
        <w:t xml:space="preserve">through Table </w:t>
      </w:r>
      <w:proofErr w:type="gramStart"/>
      <w:r w:rsidR="00F3566B">
        <w:t xml:space="preserve">29 </w:t>
      </w:r>
      <w:r w:rsidR="00E61697">
        <w:t xml:space="preserve"> </w:t>
      </w:r>
      <w:r w:rsidR="00E20B90" w:rsidRPr="00323D5D">
        <w:t>in</w:t>
      </w:r>
      <w:proofErr w:type="gramEnd"/>
      <w:r w:rsidR="00E20B90" w:rsidRPr="00323D5D">
        <w:t xml:space="preserve"> which the capital cost of component is </w:t>
      </w:r>
      <w:r w:rsidR="00947130" w:rsidRPr="00323D5D">
        <w:t xml:space="preserve">broken down </w:t>
      </w:r>
      <w:r w:rsidR="00E61697">
        <w:t>in</w:t>
      </w:r>
      <w:r w:rsidR="00947130" w:rsidRPr="00323D5D">
        <w:t xml:space="preserve">to: construction capital, right of way and utilities, and professional costs. </w:t>
      </w:r>
    </w:p>
    <w:p w:rsidR="00947130" w:rsidRPr="00323D5D" w:rsidRDefault="00947130" w:rsidP="006A21C2">
      <w:pPr>
        <w:pStyle w:val="Heading3"/>
      </w:pPr>
      <w:bookmarkStart w:id="153" w:name="_Toc448780346"/>
      <w:r w:rsidRPr="00323D5D">
        <w:t>General Purpose Lanes</w:t>
      </w:r>
      <w:bookmarkEnd w:id="153"/>
    </w:p>
    <w:p w:rsidR="00947130" w:rsidRDefault="00947130" w:rsidP="00947130">
      <w:pPr>
        <w:pStyle w:val="BodyText"/>
      </w:pPr>
      <w:r w:rsidRPr="00323D5D">
        <w:t xml:space="preserve">Two different approaches </w:t>
      </w:r>
      <w:r w:rsidR="00E61697">
        <w:t>will be</w:t>
      </w:r>
      <w:r w:rsidRPr="00323D5D">
        <w:t xml:space="preserve"> used </w:t>
      </w:r>
      <w:r w:rsidR="00E61697">
        <w:t xml:space="preserve">for the construction of </w:t>
      </w:r>
      <w:r w:rsidRPr="00323D5D">
        <w:t xml:space="preserve">the general purpose lanes in the </w:t>
      </w:r>
      <w:r w:rsidR="003B3E40">
        <w:t>I-25 Project</w:t>
      </w:r>
      <w:r w:rsidRPr="00323D5D">
        <w:t xml:space="preserve">.  29.4 of the 56 miles of general purpose lanes will be subjected to asphalt pavement rehabilitation, while the remaining 26.6 miles will undergo concrete pavement reconstruction.  Capital costs associated with construction works </w:t>
      </w:r>
      <w:r w:rsidR="00FA44CA" w:rsidRPr="00323D5D">
        <w:t>for</w:t>
      </w:r>
      <w:r w:rsidRPr="00323D5D">
        <w:t xml:space="preserve"> the general purpose lanes are estimated to total $8</w:t>
      </w:r>
      <w:r w:rsidR="00FA44CA" w:rsidRPr="00323D5D">
        <w:t>3.8</w:t>
      </w:r>
      <w:r w:rsidRPr="00323D5D">
        <w:t xml:space="preserve"> million. </w:t>
      </w:r>
      <w:r w:rsidR="00E61697">
        <w:t xml:space="preserve">The asphalt pavement section of the general purpose lanes will require an additional capital outlay in 2031 at the end of its useful life. </w:t>
      </w:r>
    </w:p>
    <w:p w:rsidR="00E61697" w:rsidRPr="00323D5D" w:rsidRDefault="00E61697" w:rsidP="00E61697">
      <w:pPr>
        <w:pStyle w:val="BodyText"/>
        <w:spacing w:after="0"/>
        <w:jc w:val="center"/>
        <w:rPr>
          <w:b/>
          <w:sz w:val="18"/>
          <w:szCs w:val="18"/>
        </w:rPr>
      </w:pPr>
      <w:r w:rsidRPr="00323D5D">
        <w:rPr>
          <w:b/>
          <w:sz w:val="18"/>
          <w:szCs w:val="18"/>
        </w:rPr>
        <w:t xml:space="preserve">Table </w:t>
      </w:r>
      <w:r>
        <w:rPr>
          <w:b/>
          <w:sz w:val="18"/>
          <w:szCs w:val="18"/>
        </w:rPr>
        <w:t>2</w:t>
      </w:r>
      <w:r w:rsidR="00F3566B">
        <w:rPr>
          <w:b/>
          <w:sz w:val="18"/>
          <w:szCs w:val="18"/>
        </w:rPr>
        <w:t>6</w:t>
      </w:r>
      <w:r w:rsidRPr="00323D5D">
        <w:rPr>
          <w:b/>
          <w:sz w:val="18"/>
          <w:szCs w:val="18"/>
        </w:rPr>
        <w:t xml:space="preserve">: I-25 </w:t>
      </w:r>
      <w:r w:rsidR="00962481">
        <w:rPr>
          <w:b/>
          <w:sz w:val="18"/>
          <w:szCs w:val="18"/>
        </w:rPr>
        <w:t xml:space="preserve">Project </w:t>
      </w:r>
      <w:r w:rsidRPr="00323D5D">
        <w:rPr>
          <w:b/>
          <w:sz w:val="18"/>
          <w:szCs w:val="18"/>
        </w:rPr>
        <w:t>Capital Costs: General Lanes</w:t>
      </w:r>
    </w:p>
    <w:tbl>
      <w:tblPr>
        <w:tblW w:w="9281" w:type="dxa"/>
        <w:tblInd w:w="93" w:type="dxa"/>
        <w:tblLook w:val="04A0" w:firstRow="1" w:lastRow="0" w:firstColumn="1" w:lastColumn="0" w:noHBand="0" w:noVBand="1"/>
      </w:tblPr>
      <w:tblGrid>
        <w:gridCol w:w="3019"/>
        <w:gridCol w:w="2994"/>
        <w:gridCol w:w="3268"/>
      </w:tblGrid>
      <w:tr w:rsidR="00E61697" w:rsidRPr="00323D5D" w:rsidTr="006F3144">
        <w:trPr>
          <w:trHeight w:val="288"/>
        </w:trPr>
        <w:tc>
          <w:tcPr>
            <w:tcW w:w="3019" w:type="dxa"/>
            <w:vMerge w:val="restart"/>
            <w:tcBorders>
              <w:top w:val="single" w:sz="4" w:space="0" w:color="auto"/>
              <w:left w:val="single" w:sz="4" w:space="0" w:color="auto"/>
              <w:right w:val="single" w:sz="4" w:space="0" w:color="auto"/>
            </w:tcBorders>
            <w:shd w:val="clear" w:color="auto" w:fill="auto"/>
            <w:noWrap/>
            <w:vAlign w:val="center"/>
            <w:hideMark/>
          </w:tcPr>
          <w:p w:rsidR="00E61697" w:rsidRPr="00323D5D" w:rsidRDefault="00E61697" w:rsidP="006F3144">
            <w:pPr>
              <w:spacing w:line="240" w:lineRule="auto"/>
              <w:jc w:val="center"/>
              <w:rPr>
                <w:color w:val="000000"/>
                <w:szCs w:val="22"/>
              </w:rPr>
            </w:pPr>
            <w:r w:rsidRPr="00323D5D">
              <w:rPr>
                <w:color w:val="000000"/>
                <w:szCs w:val="22"/>
              </w:rPr>
              <w:t>Constituent Cost Component</w:t>
            </w:r>
          </w:p>
        </w:tc>
        <w:tc>
          <w:tcPr>
            <w:tcW w:w="6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jc w:val="center"/>
              <w:rPr>
                <w:b/>
                <w:color w:val="000000"/>
                <w:szCs w:val="22"/>
              </w:rPr>
            </w:pPr>
            <w:r>
              <w:rPr>
                <w:b/>
                <w:color w:val="000000"/>
                <w:szCs w:val="22"/>
              </w:rPr>
              <w:t>General Purpose</w:t>
            </w:r>
            <w:r w:rsidRPr="00323D5D">
              <w:rPr>
                <w:b/>
                <w:color w:val="000000"/>
                <w:szCs w:val="22"/>
              </w:rPr>
              <w:t xml:space="preserve"> Lanes </w:t>
            </w:r>
          </w:p>
        </w:tc>
      </w:tr>
      <w:tr w:rsidR="00E61697" w:rsidRPr="00323D5D" w:rsidTr="006F3144">
        <w:trPr>
          <w:trHeight w:val="288"/>
        </w:trPr>
        <w:tc>
          <w:tcPr>
            <w:tcW w:w="3019" w:type="dxa"/>
            <w:vMerge/>
            <w:tcBorders>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p>
        </w:tc>
        <w:tc>
          <w:tcPr>
            <w:tcW w:w="2994" w:type="dxa"/>
            <w:tcBorders>
              <w:top w:val="nil"/>
              <w:left w:val="nil"/>
              <w:bottom w:val="single" w:sz="4" w:space="0" w:color="auto"/>
              <w:right w:val="single" w:sz="4" w:space="0" w:color="auto"/>
            </w:tcBorders>
            <w:shd w:val="clear" w:color="auto" w:fill="auto"/>
            <w:noWrap/>
            <w:hideMark/>
          </w:tcPr>
          <w:p w:rsidR="00E61697" w:rsidRPr="00323D5D" w:rsidRDefault="00E61697" w:rsidP="006F3144">
            <w:pPr>
              <w:jc w:val="center"/>
            </w:pPr>
            <w:r w:rsidRPr="00323D5D">
              <w:t>GP Lanes (Existing – Concrete Pave. Reconstruction)</w:t>
            </w:r>
          </w:p>
        </w:tc>
        <w:tc>
          <w:tcPr>
            <w:tcW w:w="3268" w:type="dxa"/>
            <w:tcBorders>
              <w:top w:val="nil"/>
              <w:left w:val="nil"/>
              <w:bottom w:val="single" w:sz="4" w:space="0" w:color="auto"/>
              <w:right w:val="single" w:sz="4" w:space="0" w:color="auto"/>
            </w:tcBorders>
            <w:shd w:val="clear" w:color="auto" w:fill="auto"/>
            <w:noWrap/>
            <w:hideMark/>
          </w:tcPr>
          <w:p w:rsidR="00E61697" w:rsidRPr="00323D5D" w:rsidRDefault="00E61697" w:rsidP="006F3144">
            <w:pPr>
              <w:jc w:val="center"/>
            </w:pPr>
            <w:r w:rsidRPr="00323D5D">
              <w:t>GP Lanes (Existing – Asphalt Pave. Rehab)</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Construction Capital</w:t>
            </w:r>
          </w:p>
        </w:tc>
        <w:tc>
          <w:tcPr>
            <w:tcW w:w="2994"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50,521,900 </w:t>
            </w:r>
          </w:p>
        </w:tc>
        <w:tc>
          <w:tcPr>
            <w:tcW w:w="3268"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9,824,000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R/W (and Utilities)</w:t>
            </w:r>
          </w:p>
        </w:tc>
        <w:tc>
          <w:tcPr>
            <w:tcW w:w="2994"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4,748,400 </w:t>
            </w:r>
          </w:p>
        </w:tc>
        <w:tc>
          <w:tcPr>
            <w:tcW w:w="3268"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Professional (Design, PM, CM)</w:t>
            </w:r>
          </w:p>
        </w:tc>
        <w:tc>
          <w:tcPr>
            <w:tcW w:w="2994"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15,702,200 </w:t>
            </w:r>
          </w:p>
        </w:tc>
        <w:tc>
          <w:tcPr>
            <w:tcW w:w="3268"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3,053,300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color w:val="000000"/>
                <w:szCs w:val="22"/>
              </w:rPr>
            </w:pPr>
            <w:r w:rsidRPr="00323D5D">
              <w:rPr>
                <w:b/>
                <w:color w:val="000000"/>
                <w:szCs w:val="22"/>
              </w:rPr>
              <w:t>TOTAL</w:t>
            </w:r>
          </w:p>
        </w:tc>
        <w:tc>
          <w:tcPr>
            <w:tcW w:w="2994"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70,972,500 </w:t>
            </w:r>
          </w:p>
        </w:tc>
        <w:tc>
          <w:tcPr>
            <w:tcW w:w="3268" w:type="dxa"/>
            <w:tcBorders>
              <w:top w:val="nil"/>
              <w:left w:val="nil"/>
              <w:bottom w:val="single" w:sz="4" w:space="0" w:color="auto"/>
              <w:right w:val="single" w:sz="4" w:space="0" w:color="auto"/>
            </w:tcBorders>
            <w:shd w:val="clear" w:color="auto" w:fill="auto"/>
            <w:noWrap/>
            <w:vAlign w:val="bottom"/>
          </w:tcPr>
          <w:p w:rsidR="00E61697" w:rsidRPr="00323D5D" w:rsidRDefault="00E61697" w:rsidP="006F3144">
            <w:pPr>
              <w:rPr>
                <w:color w:val="000000"/>
                <w:szCs w:val="22"/>
              </w:rPr>
            </w:pPr>
            <w:r w:rsidRPr="00323D5D">
              <w:rPr>
                <w:color w:val="000000"/>
                <w:szCs w:val="22"/>
              </w:rPr>
              <w:t xml:space="preserve"> $                                  12,877,300 </w:t>
            </w:r>
          </w:p>
        </w:tc>
      </w:tr>
    </w:tbl>
    <w:p w:rsidR="00E61697" w:rsidRPr="00323D5D" w:rsidRDefault="00E61697" w:rsidP="00E61697">
      <w:pPr>
        <w:pStyle w:val="BodyText"/>
        <w:rPr>
          <w:sz w:val="16"/>
          <w:szCs w:val="16"/>
        </w:rPr>
      </w:pPr>
      <w:r w:rsidRPr="00323D5D">
        <w:rPr>
          <w:sz w:val="16"/>
          <w:szCs w:val="16"/>
        </w:rPr>
        <w:t>Source: AECOM, Atkins</w:t>
      </w:r>
    </w:p>
    <w:p w:rsidR="00947130" w:rsidRPr="00323D5D" w:rsidRDefault="00947130" w:rsidP="006A21C2">
      <w:pPr>
        <w:pStyle w:val="Heading3"/>
      </w:pPr>
      <w:bookmarkStart w:id="154" w:name="_Toc448780347"/>
      <w:r w:rsidRPr="00323D5D">
        <w:lastRenderedPageBreak/>
        <w:t>Managed Lanes</w:t>
      </w:r>
      <w:bookmarkEnd w:id="154"/>
    </w:p>
    <w:p w:rsidR="00E61697" w:rsidRDefault="00947130" w:rsidP="006A21C2">
      <w:pPr>
        <w:pStyle w:val="BodyText"/>
        <w:spacing w:after="0"/>
        <w:jc w:val="left"/>
        <w:rPr>
          <w:b/>
          <w:sz w:val="18"/>
          <w:szCs w:val="18"/>
        </w:rPr>
      </w:pPr>
      <w:r w:rsidRPr="00323D5D">
        <w:t xml:space="preserve">The </w:t>
      </w:r>
      <w:r w:rsidR="003B3E40">
        <w:t>I-25 Project</w:t>
      </w:r>
      <w:r w:rsidRPr="00323D5D">
        <w:t xml:space="preserve"> will see the introduction of managed lanes running the entirety of the 14 mile corridor.  As with the general purpose lanes, two different approaches will be used in their construction.  14.7 miles of the managed lanes will be constructed </w:t>
      </w:r>
      <w:r w:rsidR="00C64137" w:rsidRPr="00323D5D">
        <w:t xml:space="preserve">in </w:t>
      </w:r>
      <w:r w:rsidRPr="00323D5D">
        <w:t xml:space="preserve">asphalt while 13.3 will be constructed </w:t>
      </w:r>
      <w:r w:rsidR="00C64137" w:rsidRPr="00323D5D">
        <w:t xml:space="preserve">in </w:t>
      </w:r>
      <w:r w:rsidRPr="00323D5D">
        <w:t xml:space="preserve">concrete.  Capital costs associated with construction works </w:t>
      </w:r>
      <w:r w:rsidR="00FA44CA" w:rsidRPr="00323D5D">
        <w:t xml:space="preserve">for </w:t>
      </w:r>
      <w:r w:rsidRPr="00323D5D">
        <w:t xml:space="preserve">the </w:t>
      </w:r>
      <w:r w:rsidR="00FA44CA" w:rsidRPr="00323D5D">
        <w:t>managed</w:t>
      </w:r>
      <w:r w:rsidRPr="00323D5D">
        <w:t xml:space="preserve"> lanes are estimated to total $</w:t>
      </w:r>
      <w:r w:rsidR="00FA44CA" w:rsidRPr="00323D5D">
        <w:t>91.6</w:t>
      </w:r>
      <w:r w:rsidRPr="00323D5D">
        <w:t xml:space="preserve"> million.</w:t>
      </w:r>
      <w:r w:rsidR="00E61697" w:rsidRPr="00E61697">
        <w:rPr>
          <w:b/>
          <w:sz w:val="18"/>
          <w:szCs w:val="18"/>
        </w:rPr>
        <w:t xml:space="preserve"> </w:t>
      </w:r>
    </w:p>
    <w:p w:rsidR="00E61697" w:rsidRPr="00323D5D" w:rsidRDefault="00E61697" w:rsidP="00E61697">
      <w:pPr>
        <w:pStyle w:val="BodyText"/>
        <w:spacing w:after="0"/>
        <w:jc w:val="center"/>
        <w:rPr>
          <w:b/>
          <w:sz w:val="18"/>
          <w:szCs w:val="18"/>
        </w:rPr>
      </w:pPr>
      <w:r w:rsidRPr="00323D5D">
        <w:rPr>
          <w:b/>
          <w:sz w:val="18"/>
          <w:szCs w:val="18"/>
        </w:rPr>
        <w:t xml:space="preserve">Table </w:t>
      </w:r>
      <w:r>
        <w:rPr>
          <w:b/>
          <w:sz w:val="18"/>
          <w:szCs w:val="18"/>
        </w:rPr>
        <w:t>2</w:t>
      </w:r>
      <w:r w:rsidR="00F3566B">
        <w:rPr>
          <w:b/>
          <w:sz w:val="18"/>
          <w:szCs w:val="18"/>
        </w:rPr>
        <w:t>7</w:t>
      </w:r>
      <w:r w:rsidRPr="00323D5D">
        <w:rPr>
          <w:b/>
          <w:sz w:val="18"/>
          <w:szCs w:val="18"/>
        </w:rPr>
        <w:t xml:space="preserve">: </w:t>
      </w:r>
      <w:r w:rsidR="00962481">
        <w:rPr>
          <w:b/>
          <w:sz w:val="18"/>
          <w:szCs w:val="18"/>
        </w:rPr>
        <w:t>I-25 Project</w:t>
      </w:r>
      <w:r w:rsidRPr="00323D5D">
        <w:rPr>
          <w:b/>
          <w:sz w:val="18"/>
          <w:szCs w:val="18"/>
        </w:rPr>
        <w:t xml:space="preserve"> Capital Costs: Managed Lanes</w:t>
      </w:r>
    </w:p>
    <w:tbl>
      <w:tblPr>
        <w:tblW w:w="9281" w:type="dxa"/>
        <w:tblInd w:w="93" w:type="dxa"/>
        <w:tblLook w:val="04A0" w:firstRow="1" w:lastRow="0" w:firstColumn="1" w:lastColumn="0" w:noHBand="0" w:noVBand="1"/>
      </w:tblPr>
      <w:tblGrid>
        <w:gridCol w:w="3019"/>
        <w:gridCol w:w="2994"/>
        <w:gridCol w:w="3268"/>
      </w:tblGrid>
      <w:tr w:rsidR="00E61697" w:rsidRPr="00323D5D" w:rsidTr="006F3144">
        <w:trPr>
          <w:trHeight w:val="288"/>
        </w:trPr>
        <w:tc>
          <w:tcPr>
            <w:tcW w:w="3019" w:type="dxa"/>
            <w:vMerge w:val="restart"/>
            <w:tcBorders>
              <w:top w:val="single" w:sz="4" w:space="0" w:color="auto"/>
              <w:left w:val="single" w:sz="4" w:space="0" w:color="auto"/>
              <w:right w:val="single" w:sz="4" w:space="0" w:color="auto"/>
            </w:tcBorders>
            <w:shd w:val="clear" w:color="auto" w:fill="auto"/>
            <w:noWrap/>
            <w:vAlign w:val="center"/>
            <w:hideMark/>
          </w:tcPr>
          <w:p w:rsidR="00E61697" w:rsidRPr="00323D5D" w:rsidRDefault="00E61697" w:rsidP="006F3144">
            <w:pPr>
              <w:spacing w:line="240" w:lineRule="auto"/>
              <w:jc w:val="center"/>
              <w:rPr>
                <w:color w:val="000000"/>
                <w:szCs w:val="22"/>
              </w:rPr>
            </w:pPr>
            <w:r w:rsidRPr="00323D5D">
              <w:rPr>
                <w:color w:val="000000"/>
                <w:szCs w:val="22"/>
              </w:rPr>
              <w:t>Constituent Cost Component</w:t>
            </w:r>
          </w:p>
        </w:tc>
        <w:tc>
          <w:tcPr>
            <w:tcW w:w="6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jc w:val="center"/>
              <w:rPr>
                <w:b/>
                <w:color w:val="000000"/>
                <w:szCs w:val="22"/>
              </w:rPr>
            </w:pPr>
            <w:r w:rsidRPr="00323D5D">
              <w:rPr>
                <w:b/>
                <w:color w:val="000000"/>
                <w:szCs w:val="22"/>
              </w:rPr>
              <w:t xml:space="preserve">Managed Lanes </w:t>
            </w:r>
          </w:p>
        </w:tc>
      </w:tr>
      <w:tr w:rsidR="00E61697" w:rsidRPr="00323D5D" w:rsidTr="006F3144">
        <w:trPr>
          <w:trHeight w:val="288"/>
        </w:trPr>
        <w:tc>
          <w:tcPr>
            <w:tcW w:w="3019" w:type="dxa"/>
            <w:vMerge/>
            <w:tcBorders>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p>
        </w:tc>
        <w:tc>
          <w:tcPr>
            <w:tcW w:w="2994"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Express Lanes (New - Asphalt)</w:t>
            </w:r>
          </w:p>
        </w:tc>
        <w:tc>
          <w:tcPr>
            <w:tcW w:w="3268"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Express Lanes (New - Concrete)</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Construction Capital</w:t>
            </w:r>
          </w:p>
        </w:tc>
        <w:tc>
          <w:tcPr>
            <w:tcW w:w="2994"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36,888,600 </w:t>
            </w:r>
          </w:p>
        </w:tc>
        <w:tc>
          <w:tcPr>
            <w:tcW w:w="3268"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30,837,100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R/W (and Utilities)</w:t>
            </w:r>
          </w:p>
        </w:tc>
        <w:tc>
          <w:tcPr>
            <w:tcW w:w="2994"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416,500 </w:t>
            </w:r>
          </w:p>
        </w:tc>
        <w:tc>
          <w:tcPr>
            <w:tcW w:w="3268"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2,374,200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Professional (Design, PM, CM)</w:t>
            </w:r>
          </w:p>
        </w:tc>
        <w:tc>
          <w:tcPr>
            <w:tcW w:w="2994"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11,465,000 </w:t>
            </w:r>
          </w:p>
        </w:tc>
        <w:tc>
          <w:tcPr>
            <w:tcW w:w="3268"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9,584,200 </w:t>
            </w:r>
          </w:p>
        </w:tc>
      </w:tr>
      <w:tr w:rsidR="00E61697" w:rsidRPr="00323D5D" w:rsidTr="006F3144">
        <w:trPr>
          <w:trHeight w:val="288"/>
        </w:trPr>
        <w:tc>
          <w:tcPr>
            <w:tcW w:w="3019" w:type="dxa"/>
            <w:tcBorders>
              <w:top w:val="nil"/>
              <w:left w:val="single" w:sz="4" w:space="0" w:color="auto"/>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color w:val="000000"/>
                <w:szCs w:val="22"/>
              </w:rPr>
            </w:pPr>
            <w:r w:rsidRPr="00323D5D">
              <w:rPr>
                <w:b/>
                <w:color w:val="000000"/>
                <w:szCs w:val="22"/>
              </w:rPr>
              <w:t>TOTAL</w:t>
            </w:r>
          </w:p>
        </w:tc>
        <w:tc>
          <w:tcPr>
            <w:tcW w:w="2994"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color w:val="000000"/>
                <w:szCs w:val="22"/>
              </w:rPr>
            </w:pPr>
            <w:r w:rsidRPr="00323D5D">
              <w:rPr>
                <w:b/>
                <w:color w:val="000000"/>
                <w:szCs w:val="22"/>
              </w:rPr>
              <w:t xml:space="preserve"> $                             48,770,100 </w:t>
            </w:r>
          </w:p>
        </w:tc>
        <w:tc>
          <w:tcPr>
            <w:tcW w:w="3268" w:type="dxa"/>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color w:val="000000"/>
                <w:szCs w:val="22"/>
              </w:rPr>
            </w:pPr>
            <w:r w:rsidRPr="00323D5D">
              <w:rPr>
                <w:b/>
                <w:color w:val="000000"/>
                <w:szCs w:val="22"/>
              </w:rPr>
              <w:t xml:space="preserve"> $                                  42,795,500 </w:t>
            </w:r>
          </w:p>
        </w:tc>
      </w:tr>
    </w:tbl>
    <w:p w:rsidR="00E61697" w:rsidRPr="00323D5D" w:rsidRDefault="00E61697" w:rsidP="00E61697">
      <w:pPr>
        <w:pStyle w:val="BodyText"/>
        <w:rPr>
          <w:sz w:val="16"/>
          <w:szCs w:val="16"/>
        </w:rPr>
      </w:pPr>
      <w:r w:rsidRPr="00323D5D">
        <w:rPr>
          <w:sz w:val="16"/>
          <w:szCs w:val="16"/>
        </w:rPr>
        <w:t>Source: AECOM, Atkins</w:t>
      </w:r>
    </w:p>
    <w:p w:rsidR="00947130" w:rsidRPr="00323D5D" w:rsidRDefault="000018D7" w:rsidP="006A21C2">
      <w:pPr>
        <w:pStyle w:val="Heading3"/>
      </w:pPr>
      <w:bookmarkStart w:id="155" w:name="_Toc448162965"/>
      <w:bookmarkStart w:id="156" w:name="_Toc448163285"/>
      <w:bookmarkStart w:id="157" w:name="_Toc448163605"/>
      <w:bookmarkStart w:id="158" w:name="_Toc448780348"/>
      <w:bookmarkEnd w:id="155"/>
      <w:bookmarkEnd w:id="156"/>
      <w:bookmarkEnd w:id="157"/>
      <w:r>
        <w:t>Bridges</w:t>
      </w:r>
      <w:bookmarkEnd w:id="158"/>
    </w:p>
    <w:p w:rsidR="00FA44CA" w:rsidRPr="00323D5D" w:rsidRDefault="00FA44CA" w:rsidP="00FA44CA">
      <w:pPr>
        <w:pStyle w:val="BodyText"/>
      </w:pPr>
      <w:r w:rsidRPr="00323D5D">
        <w:t xml:space="preserve">Four bridges are proposed for widening or replacement within the assessment corridor.  The construction works proposed for </w:t>
      </w:r>
      <w:r w:rsidR="00E61697">
        <w:t>bridges</w:t>
      </w:r>
      <w:r w:rsidR="00E61697" w:rsidRPr="00323D5D">
        <w:t xml:space="preserve"> </w:t>
      </w:r>
      <w:r w:rsidRPr="00323D5D">
        <w:t>within the assessment corridor comprise:</w:t>
      </w:r>
    </w:p>
    <w:p w:rsidR="00FA44CA" w:rsidRPr="00323D5D" w:rsidRDefault="00FA44CA" w:rsidP="00FA44CA">
      <w:pPr>
        <w:pStyle w:val="BodyText"/>
        <w:numPr>
          <w:ilvl w:val="0"/>
          <w:numId w:val="18"/>
        </w:numPr>
      </w:pPr>
      <w:r w:rsidRPr="00323D5D">
        <w:t>Widening of the separated bridges over the Big Thompson River to accommodate managed lanes in either direction;</w:t>
      </w:r>
    </w:p>
    <w:p w:rsidR="00FA44CA" w:rsidRPr="00323D5D" w:rsidRDefault="00FA44CA" w:rsidP="00FA44CA">
      <w:pPr>
        <w:pStyle w:val="BodyText"/>
        <w:numPr>
          <w:ilvl w:val="0"/>
          <w:numId w:val="18"/>
        </w:numPr>
      </w:pPr>
      <w:r w:rsidRPr="00323D5D">
        <w:t>Reconstruction of the separated bridges known as the Union Pacific Rail Road (UPRR) Bridges, including additional works to build the Kendall Parkway Underpass beneath the UPRR’s southern approach;</w:t>
      </w:r>
    </w:p>
    <w:p w:rsidR="00FA44CA" w:rsidRPr="00323D5D" w:rsidRDefault="00FA44CA" w:rsidP="00FA44CA">
      <w:pPr>
        <w:pStyle w:val="BodyText"/>
        <w:numPr>
          <w:ilvl w:val="0"/>
          <w:numId w:val="18"/>
        </w:numPr>
      </w:pPr>
      <w:r w:rsidRPr="00323D5D">
        <w:t xml:space="preserve">Reconstruction of the separated Cache Le Poudre River bridges, including the raising of their elevation by four feet for resiliency purposes; and </w:t>
      </w:r>
    </w:p>
    <w:p w:rsidR="00FA44CA" w:rsidRPr="00323D5D" w:rsidRDefault="00FA44CA" w:rsidP="00FA44CA">
      <w:pPr>
        <w:pStyle w:val="BodyText"/>
        <w:numPr>
          <w:ilvl w:val="0"/>
          <w:numId w:val="18"/>
        </w:numPr>
      </w:pPr>
      <w:r w:rsidRPr="00323D5D">
        <w:t xml:space="preserve">The widening of the separated Great Western Rail Road (GWRR) to accommodate managed lanes in either direction. </w:t>
      </w:r>
    </w:p>
    <w:p w:rsidR="00E61697" w:rsidRPr="00323D5D" w:rsidRDefault="00FA44CA" w:rsidP="006A21C2">
      <w:pPr>
        <w:pStyle w:val="BodyText"/>
        <w:spacing w:after="0"/>
        <w:jc w:val="left"/>
        <w:rPr>
          <w:b/>
          <w:sz w:val="18"/>
          <w:szCs w:val="18"/>
        </w:rPr>
      </w:pPr>
      <w:r w:rsidRPr="00323D5D">
        <w:t xml:space="preserve">Capital costs associated with construction works for the widening or reconstruction of structures within the assessment corridor, </w:t>
      </w:r>
      <w:r w:rsidR="00E61697">
        <w:t>in</w:t>
      </w:r>
      <w:r w:rsidR="00E61697" w:rsidRPr="00323D5D">
        <w:t xml:space="preserve">cluding </w:t>
      </w:r>
      <w:r w:rsidRPr="00323D5D">
        <w:t>the Kendall Parkway Underpass, are estimated at approximately $</w:t>
      </w:r>
      <w:r w:rsidR="00E61697" w:rsidRPr="00323D5D">
        <w:t>4</w:t>
      </w:r>
      <w:r w:rsidR="00E61697">
        <w:t>9</w:t>
      </w:r>
      <w:r w:rsidRPr="00323D5D">
        <w:t>.</w:t>
      </w:r>
      <w:r w:rsidR="00E61697">
        <w:t>7</w:t>
      </w:r>
      <w:r w:rsidRPr="00323D5D">
        <w:t xml:space="preserve"> million.  </w:t>
      </w:r>
    </w:p>
    <w:p w:rsidR="00E61697" w:rsidRPr="00323D5D" w:rsidRDefault="00E61697" w:rsidP="00E61697">
      <w:pPr>
        <w:pStyle w:val="BodyText"/>
        <w:spacing w:after="0"/>
        <w:jc w:val="center"/>
        <w:rPr>
          <w:b/>
          <w:sz w:val="18"/>
          <w:szCs w:val="18"/>
        </w:rPr>
      </w:pPr>
      <w:r w:rsidRPr="00323D5D">
        <w:rPr>
          <w:b/>
          <w:sz w:val="18"/>
          <w:szCs w:val="18"/>
        </w:rPr>
        <w:t xml:space="preserve">Table </w:t>
      </w:r>
      <w:r>
        <w:rPr>
          <w:b/>
          <w:sz w:val="18"/>
          <w:szCs w:val="18"/>
        </w:rPr>
        <w:t>2</w:t>
      </w:r>
      <w:r w:rsidR="00F3566B">
        <w:rPr>
          <w:b/>
          <w:sz w:val="18"/>
          <w:szCs w:val="18"/>
        </w:rPr>
        <w:t>8</w:t>
      </w:r>
      <w:r w:rsidRPr="00323D5D">
        <w:rPr>
          <w:b/>
          <w:sz w:val="18"/>
          <w:szCs w:val="18"/>
        </w:rPr>
        <w:t xml:space="preserve">: </w:t>
      </w:r>
      <w:r w:rsidR="00962481">
        <w:rPr>
          <w:b/>
          <w:sz w:val="18"/>
          <w:szCs w:val="18"/>
        </w:rPr>
        <w:t>I-25 Project</w:t>
      </w:r>
      <w:r w:rsidRPr="00323D5D">
        <w:rPr>
          <w:b/>
          <w:sz w:val="18"/>
          <w:szCs w:val="18"/>
        </w:rPr>
        <w:t xml:space="preserve"> Capital Costs: </w:t>
      </w:r>
      <w:r>
        <w:rPr>
          <w:b/>
          <w:sz w:val="18"/>
          <w:szCs w:val="18"/>
        </w:rPr>
        <w:t>Bridges and Structures</w:t>
      </w:r>
    </w:p>
    <w:tbl>
      <w:tblPr>
        <w:tblW w:w="5000" w:type="pct"/>
        <w:tblLayout w:type="fixed"/>
        <w:tblLook w:val="04A0" w:firstRow="1" w:lastRow="0" w:firstColumn="1" w:lastColumn="0" w:noHBand="0" w:noVBand="1"/>
      </w:tblPr>
      <w:tblGrid>
        <w:gridCol w:w="1977"/>
        <w:gridCol w:w="1732"/>
        <w:gridCol w:w="1618"/>
        <w:gridCol w:w="1532"/>
        <w:gridCol w:w="1436"/>
        <w:gridCol w:w="1281"/>
      </w:tblGrid>
      <w:tr w:rsidR="00E61697" w:rsidRPr="00323D5D" w:rsidTr="006F3144">
        <w:trPr>
          <w:trHeight w:val="288"/>
        </w:trPr>
        <w:tc>
          <w:tcPr>
            <w:tcW w:w="10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 w:val="18"/>
                <w:szCs w:val="18"/>
              </w:rPr>
            </w:pPr>
            <w:r w:rsidRPr="00323D5D">
              <w:rPr>
                <w:color w:val="000000"/>
                <w:sz w:val="18"/>
                <w:szCs w:val="18"/>
              </w:rPr>
              <w:t> </w:t>
            </w:r>
          </w:p>
        </w:tc>
        <w:tc>
          <w:tcPr>
            <w:tcW w:w="3968"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jc w:val="center"/>
              <w:rPr>
                <w:b/>
                <w:color w:val="000000"/>
                <w:szCs w:val="22"/>
              </w:rPr>
            </w:pPr>
            <w:r w:rsidRPr="00323D5D">
              <w:rPr>
                <w:b/>
                <w:color w:val="000000"/>
                <w:szCs w:val="22"/>
              </w:rPr>
              <w:t>Structures</w:t>
            </w:r>
          </w:p>
        </w:tc>
      </w:tr>
      <w:tr w:rsidR="00E61697" w:rsidRPr="00323D5D" w:rsidTr="006F3144">
        <w:trPr>
          <w:trHeight w:val="864"/>
        </w:trPr>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Constituent Cost Component</w:t>
            </w:r>
          </w:p>
        </w:tc>
        <w:tc>
          <w:tcPr>
            <w:tcW w:w="904" w:type="pct"/>
            <w:tcBorders>
              <w:top w:val="nil"/>
              <w:left w:val="nil"/>
              <w:bottom w:val="single" w:sz="4" w:space="0" w:color="auto"/>
              <w:right w:val="single" w:sz="4" w:space="0" w:color="auto"/>
            </w:tcBorders>
            <w:shd w:val="clear" w:color="000000" w:fill="FFFFFF"/>
            <w:vAlign w:val="bottom"/>
            <w:hideMark/>
          </w:tcPr>
          <w:p w:rsidR="00E61697" w:rsidRPr="00323D5D" w:rsidRDefault="00E61697" w:rsidP="006F3144">
            <w:pPr>
              <w:spacing w:line="240" w:lineRule="auto"/>
              <w:jc w:val="center"/>
              <w:rPr>
                <w:color w:val="000000"/>
                <w:sz w:val="18"/>
                <w:szCs w:val="18"/>
              </w:rPr>
            </w:pPr>
            <w:r w:rsidRPr="00323D5D">
              <w:rPr>
                <w:color w:val="000000"/>
                <w:sz w:val="18"/>
                <w:szCs w:val="18"/>
              </w:rPr>
              <w:t>Big Thompson River Bridges (Widen)</w:t>
            </w:r>
          </w:p>
        </w:tc>
        <w:tc>
          <w:tcPr>
            <w:tcW w:w="845" w:type="pct"/>
            <w:tcBorders>
              <w:top w:val="nil"/>
              <w:left w:val="nil"/>
              <w:bottom w:val="single" w:sz="4" w:space="0" w:color="auto"/>
              <w:right w:val="single" w:sz="4" w:space="0" w:color="auto"/>
            </w:tcBorders>
            <w:shd w:val="clear" w:color="000000" w:fill="FFFFFF"/>
            <w:vAlign w:val="bottom"/>
            <w:hideMark/>
          </w:tcPr>
          <w:p w:rsidR="00E61697" w:rsidRPr="00323D5D" w:rsidRDefault="00E61697" w:rsidP="006F3144">
            <w:pPr>
              <w:spacing w:line="240" w:lineRule="auto"/>
              <w:jc w:val="center"/>
              <w:rPr>
                <w:color w:val="000000"/>
                <w:sz w:val="18"/>
                <w:szCs w:val="18"/>
              </w:rPr>
            </w:pPr>
            <w:r w:rsidRPr="00323D5D">
              <w:rPr>
                <w:color w:val="000000"/>
                <w:sz w:val="18"/>
                <w:szCs w:val="18"/>
              </w:rPr>
              <w:t>UPRR Bridges (Full Reconstruction)</w:t>
            </w:r>
          </w:p>
        </w:tc>
        <w:tc>
          <w:tcPr>
            <w:tcW w:w="800" w:type="pct"/>
            <w:tcBorders>
              <w:top w:val="nil"/>
              <w:left w:val="nil"/>
              <w:bottom w:val="single" w:sz="4" w:space="0" w:color="auto"/>
              <w:right w:val="single" w:sz="4" w:space="0" w:color="auto"/>
            </w:tcBorders>
            <w:shd w:val="clear" w:color="000000" w:fill="FFFFFF"/>
            <w:vAlign w:val="bottom"/>
            <w:hideMark/>
          </w:tcPr>
          <w:p w:rsidR="00E61697" w:rsidRPr="00323D5D" w:rsidRDefault="00E61697" w:rsidP="006F3144">
            <w:pPr>
              <w:spacing w:line="240" w:lineRule="auto"/>
              <w:jc w:val="center"/>
              <w:rPr>
                <w:color w:val="000000"/>
                <w:sz w:val="18"/>
                <w:szCs w:val="18"/>
              </w:rPr>
            </w:pPr>
            <w:r w:rsidRPr="00323D5D">
              <w:rPr>
                <w:color w:val="000000"/>
                <w:sz w:val="18"/>
                <w:szCs w:val="18"/>
              </w:rPr>
              <w:t>Kendall Parkway (Additional to UPRR)</w:t>
            </w:r>
          </w:p>
        </w:tc>
        <w:tc>
          <w:tcPr>
            <w:tcW w:w="750" w:type="pct"/>
            <w:tcBorders>
              <w:top w:val="nil"/>
              <w:left w:val="nil"/>
              <w:bottom w:val="single" w:sz="4" w:space="0" w:color="auto"/>
              <w:right w:val="single" w:sz="4" w:space="0" w:color="auto"/>
            </w:tcBorders>
            <w:shd w:val="clear" w:color="000000" w:fill="FFFFFF"/>
            <w:vAlign w:val="bottom"/>
            <w:hideMark/>
          </w:tcPr>
          <w:p w:rsidR="00E61697" w:rsidRPr="00323D5D" w:rsidRDefault="00E61697" w:rsidP="006F3144">
            <w:pPr>
              <w:spacing w:line="240" w:lineRule="auto"/>
              <w:jc w:val="center"/>
              <w:rPr>
                <w:color w:val="000000"/>
                <w:sz w:val="18"/>
                <w:szCs w:val="18"/>
              </w:rPr>
            </w:pPr>
            <w:r w:rsidRPr="00323D5D">
              <w:rPr>
                <w:color w:val="000000"/>
                <w:sz w:val="18"/>
                <w:szCs w:val="18"/>
              </w:rPr>
              <w:t>Poudre River Bridges (Full Reconstruction)</w:t>
            </w:r>
          </w:p>
        </w:tc>
        <w:tc>
          <w:tcPr>
            <w:tcW w:w="669" w:type="pct"/>
            <w:tcBorders>
              <w:top w:val="nil"/>
              <w:left w:val="nil"/>
              <w:bottom w:val="single" w:sz="4" w:space="0" w:color="auto"/>
              <w:right w:val="single" w:sz="4" w:space="0" w:color="auto"/>
            </w:tcBorders>
            <w:shd w:val="clear" w:color="000000" w:fill="FFFFFF"/>
            <w:vAlign w:val="bottom"/>
            <w:hideMark/>
          </w:tcPr>
          <w:p w:rsidR="00E61697" w:rsidRPr="00323D5D" w:rsidRDefault="00E61697" w:rsidP="006F3144">
            <w:pPr>
              <w:spacing w:line="240" w:lineRule="auto"/>
              <w:jc w:val="center"/>
              <w:rPr>
                <w:color w:val="000000"/>
                <w:sz w:val="18"/>
                <w:szCs w:val="18"/>
              </w:rPr>
            </w:pPr>
            <w:r w:rsidRPr="00323D5D">
              <w:rPr>
                <w:color w:val="000000"/>
                <w:sz w:val="18"/>
                <w:szCs w:val="18"/>
              </w:rPr>
              <w:t>GWRR Bridges (Widen)</w:t>
            </w:r>
          </w:p>
        </w:tc>
      </w:tr>
      <w:tr w:rsidR="00E61697" w:rsidRPr="00323D5D" w:rsidTr="006F3144">
        <w:trPr>
          <w:trHeight w:val="288"/>
        </w:trPr>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Construction Capital</w:t>
            </w:r>
          </w:p>
        </w:tc>
        <w:tc>
          <w:tcPr>
            <w:tcW w:w="904"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2,599,000 </w:t>
            </w:r>
          </w:p>
        </w:tc>
        <w:tc>
          <w:tcPr>
            <w:tcW w:w="845"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7,370,400 </w:t>
            </w:r>
          </w:p>
        </w:tc>
        <w:tc>
          <w:tcPr>
            <w:tcW w:w="80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4,806,800 </w:t>
            </w:r>
          </w:p>
        </w:tc>
        <w:tc>
          <w:tcPr>
            <w:tcW w:w="75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$ 15,887,400 </w:t>
            </w:r>
          </w:p>
        </w:tc>
        <w:tc>
          <w:tcPr>
            <w:tcW w:w="669" w:type="pct"/>
            <w:tcBorders>
              <w:top w:val="nil"/>
              <w:left w:val="nil"/>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$6,095,200 </w:t>
            </w:r>
          </w:p>
        </w:tc>
      </w:tr>
      <w:tr w:rsidR="00E61697" w:rsidRPr="00323D5D" w:rsidTr="006F3144">
        <w:trPr>
          <w:trHeight w:val="288"/>
        </w:trPr>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R/W (and Utilities)</w:t>
            </w:r>
          </w:p>
        </w:tc>
        <w:tc>
          <w:tcPr>
            <w:tcW w:w="904"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40,400 </w:t>
            </w:r>
          </w:p>
        </w:tc>
        <w:tc>
          <w:tcPr>
            <w:tcW w:w="845"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947,400 </w:t>
            </w:r>
          </w:p>
        </w:tc>
        <w:tc>
          <w:tcPr>
            <w:tcW w:w="80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   </w:t>
            </w:r>
          </w:p>
        </w:tc>
        <w:tc>
          <w:tcPr>
            <w:tcW w:w="75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435,200 </w:t>
            </w:r>
          </w:p>
        </w:tc>
        <w:tc>
          <w:tcPr>
            <w:tcW w:w="669" w:type="pct"/>
            <w:tcBorders>
              <w:top w:val="nil"/>
              <w:left w:val="nil"/>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97,300 </w:t>
            </w:r>
          </w:p>
        </w:tc>
      </w:tr>
      <w:tr w:rsidR="00E61697" w:rsidRPr="00323D5D" w:rsidTr="006F3144">
        <w:trPr>
          <w:trHeight w:val="288"/>
        </w:trPr>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Professional (Design, PM, CM)</w:t>
            </w:r>
          </w:p>
        </w:tc>
        <w:tc>
          <w:tcPr>
            <w:tcW w:w="904"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807,800 </w:t>
            </w:r>
          </w:p>
        </w:tc>
        <w:tc>
          <w:tcPr>
            <w:tcW w:w="845"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2,290,700 </w:t>
            </w:r>
          </w:p>
        </w:tc>
        <w:tc>
          <w:tcPr>
            <w:tcW w:w="80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1,494,000 </w:t>
            </w:r>
          </w:p>
        </w:tc>
        <w:tc>
          <w:tcPr>
            <w:tcW w:w="75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   4,937,800 </w:t>
            </w:r>
          </w:p>
        </w:tc>
        <w:tc>
          <w:tcPr>
            <w:tcW w:w="669" w:type="pct"/>
            <w:tcBorders>
              <w:top w:val="nil"/>
              <w:left w:val="nil"/>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color w:val="000000"/>
                <w:szCs w:val="22"/>
              </w:rPr>
            </w:pPr>
            <w:r w:rsidRPr="00323D5D">
              <w:rPr>
                <w:color w:val="000000"/>
                <w:szCs w:val="22"/>
              </w:rPr>
              <w:t xml:space="preserve"> $1,894,400 </w:t>
            </w:r>
          </w:p>
        </w:tc>
      </w:tr>
      <w:tr w:rsidR="00E61697" w:rsidRPr="00323D5D" w:rsidTr="006F3144">
        <w:trPr>
          <w:trHeight w:val="288"/>
        </w:trPr>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b/>
                <w:color w:val="000000"/>
                <w:szCs w:val="22"/>
              </w:rPr>
            </w:pPr>
            <w:r w:rsidRPr="00323D5D">
              <w:rPr>
                <w:b/>
                <w:color w:val="000000"/>
                <w:szCs w:val="22"/>
              </w:rPr>
              <w:t>TOTAL</w:t>
            </w:r>
          </w:p>
        </w:tc>
        <w:tc>
          <w:tcPr>
            <w:tcW w:w="904"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bCs/>
                <w:color w:val="000000"/>
                <w:szCs w:val="22"/>
              </w:rPr>
            </w:pPr>
            <w:r w:rsidRPr="00323D5D">
              <w:rPr>
                <w:b/>
                <w:bCs/>
                <w:color w:val="000000"/>
                <w:szCs w:val="22"/>
              </w:rPr>
              <w:t xml:space="preserve"> $        3,447,200 </w:t>
            </w:r>
          </w:p>
        </w:tc>
        <w:tc>
          <w:tcPr>
            <w:tcW w:w="845"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bCs/>
                <w:color w:val="000000"/>
                <w:szCs w:val="22"/>
              </w:rPr>
            </w:pPr>
            <w:r w:rsidRPr="00323D5D">
              <w:rPr>
                <w:b/>
                <w:bCs/>
                <w:color w:val="000000"/>
                <w:szCs w:val="22"/>
              </w:rPr>
              <w:t xml:space="preserve"> $    10,608,500 </w:t>
            </w:r>
          </w:p>
        </w:tc>
        <w:tc>
          <w:tcPr>
            <w:tcW w:w="80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bCs/>
                <w:color w:val="000000"/>
                <w:szCs w:val="22"/>
              </w:rPr>
            </w:pPr>
            <w:r w:rsidRPr="00323D5D">
              <w:rPr>
                <w:b/>
                <w:bCs/>
                <w:color w:val="000000"/>
                <w:szCs w:val="22"/>
              </w:rPr>
              <w:t xml:space="preserve"> $  6,300,800 </w:t>
            </w:r>
          </w:p>
        </w:tc>
        <w:tc>
          <w:tcPr>
            <w:tcW w:w="750" w:type="pct"/>
            <w:tcBorders>
              <w:top w:val="nil"/>
              <w:left w:val="nil"/>
              <w:bottom w:val="single" w:sz="4" w:space="0" w:color="auto"/>
              <w:right w:val="single" w:sz="4" w:space="0" w:color="auto"/>
            </w:tcBorders>
            <w:shd w:val="clear" w:color="auto" w:fill="auto"/>
            <w:noWrap/>
            <w:vAlign w:val="bottom"/>
            <w:hideMark/>
          </w:tcPr>
          <w:p w:rsidR="00E61697" w:rsidRPr="00323D5D" w:rsidRDefault="00E61697" w:rsidP="006F3144">
            <w:pPr>
              <w:spacing w:line="240" w:lineRule="auto"/>
              <w:rPr>
                <w:b/>
                <w:bCs/>
                <w:color w:val="000000"/>
                <w:szCs w:val="22"/>
              </w:rPr>
            </w:pPr>
            <w:r w:rsidRPr="00323D5D">
              <w:rPr>
                <w:b/>
                <w:bCs/>
                <w:color w:val="000000"/>
                <w:szCs w:val="22"/>
              </w:rPr>
              <w:t xml:space="preserve"> $ 21,260,400 </w:t>
            </w:r>
          </w:p>
        </w:tc>
        <w:tc>
          <w:tcPr>
            <w:tcW w:w="669" w:type="pct"/>
            <w:tcBorders>
              <w:top w:val="nil"/>
              <w:left w:val="nil"/>
              <w:bottom w:val="single" w:sz="4" w:space="0" w:color="auto"/>
              <w:right w:val="single" w:sz="4" w:space="0" w:color="auto"/>
            </w:tcBorders>
            <w:shd w:val="clear" w:color="000000" w:fill="FFFFFF"/>
            <w:noWrap/>
            <w:vAlign w:val="bottom"/>
            <w:hideMark/>
          </w:tcPr>
          <w:p w:rsidR="00E61697" w:rsidRPr="00323D5D" w:rsidRDefault="00E61697" w:rsidP="006F3144">
            <w:pPr>
              <w:spacing w:line="240" w:lineRule="auto"/>
              <w:rPr>
                <w:b/>
                <w:color w:val="000000"/>
                <w:szCs w:val="22"/>
              </w:rPr>
            </w:pPr>
            <w:r w:rsidRPr="00323D5D">
              <w:rPr>
                <w:b/>
                <w:color w:val="000000"/>
                <w:szCs w:val="22"/>
              </w:rPr>
              <w:t xml:space="preserve"> $8,086,900 </w:t>
            </w:r>
          </w:p>
        </w:tc>
      </w:tr>
    </w:tbl>
    <w:p w:rsidR="00FA44CA" w:rsidRPr="00323D5D" w:rsidRDefault="00E61697" w:rsidP="00FA44CA">
      <w:pPr>
        <w:pStyle w:val="BodyText"/>
      </w:pPr>
      <w:r w:rsidRPr="00323D5D">
        <w:rPr>
          <w:sz w:val="16"/>
          <w:szCs w:val="16"/>
        </w:rPr>
        <w:t>Source: AECOM, Atkins</w:t>
      </w:r>
    </w:p>
    <w:p w:rsidR="00947130" w:rsidRPr="00323D5D" w:rsidRDefault="00947130" w:rsidP="00947130">
      <w:pPr>
        <w:pStyle w:val="Heading4"/>
        <w:rPr>
          <w:rFonts w:ascii="Times New Roman" w:hAnsi="Times New Roman"/>
        </w:rPr>
      </w:pPr>
      <w:bookmarkStart w:id="159" w:name="_Toc448780349"/>
      <w:r w:rsidRPr="00323D5D">
        <w:rPr>
          <w:rFonts w:ascii="Times New Roman" w:hAnsi="Times New Roman"/>
        </w:rPr>
        <w:lastRenderedPageBreak/>
        <w:t xml:space="preserve">Bus </w:t>
      </w:r>
      <w:r w:rsidR="000702B7">
        <w:rPr>
          <w:rFonts w:ascii="Times New Roman" w:hAnsi="Times New Roman"/>
        </w:rPr>
        <w:t>Related Infrastructure</w:t>
      </w:r>
      <w:bookmarkEnd w:id="159"/>
      <w:r w:rsidR="000702B7">
        <w:rPr>
          <w:rFonts w:ascii="Times New Roman" w:hAnsi="Times New Roman"/>
        </w:rPr>
        <w:t xml:space="preserve"> </w:t>
      </w:r>
    </w:p>
    <w:p w:rsidR="00947130" w:rsidRPr="00323D5D" w:rsidRDefault="00C64137" w:rsidP="00947130">
      <w:pPr>
        <w:pStyle w:val="BodyText"/>
      </w:pPr>
      <w:r w:rsidRPr="00323D5D">
        <w:t xml:space="preserve">The bus slip ramps are proposed to be built adjacent to the Kendall Parkway underpass near the US34/I-25 intersection to allow for more efficient pick up and drop off capabilities for the </w:t>
      </w:r>
      <w:proofErr w:type="spellStart"/>
      <w:r w:rsidRPr="00323D5D">
        <w:t>Bustang</w:t>
      </w:r>
      <w:proofErr w:type="spellEnd"/>
      <w:r w:rsidRPr="00323D5D">
        <w:t xml:space="preserve"> express bus.  Capital costs associated with their construction are estimated to be $4.2 million</w:t>
      </w:r>
      <w:r w:rsidR="00E61697">
        <w:t>.</w:t>
      </w:r>
      <w:r w:rsidR="000702B7">
        <w:t xml:space="preserve">  The new Park and Ride facility is proposed for location adjacent to the western side of the I-25 immediately south of the Kendall Parkway Underpass.  </w:t>
      </w:r>
      <w:proofErr w:type="gramStart"/>
      <w:r w:rsidR="001E711C">
        <w:t>Its c</w:t>
      </w:r>
      <w:r w:rsidR="001E711C" w:rsidRPr="00323D5D">
        <w:t xml:space="preserve">apital costs </w:t>
      </w:r>
      <w:r w:rsidR="001E711C">
        <w:t>is</w:t>
      </w:r>
      <w:proofErr w:type="gramEnd"/>
      <w:r w:rsidR="001E711C">
        <w:t xml:space="preserve"> </w:t>
      </w:r>
      <w:r w:rsidR="001E711C" w:rsidRPr="00323D5D">
        <w:t>estimated to be $</w:t>
      </w:r>
      <w:r w:rsidR="001E711C">
        <w:t>5.0</w:t>
      </w:r>
      <w:r w:rsidR="001E711C" w:rsidRPr="00323D5D">
        <w:t xml:space="preserve"> million</w:t>
      </w:r>
      <w:r w:rsidR="001E711C">
        <w:t xml:space="preserve">.  </w:t>
      </w:r>
    </w:p>
    <w:p w:rsidR="002072FC" w:rsidRPr="00323D5D" w:rsidRDefault="002072FC" w:rsidP="002072FC">
      <w:pPr>
        <w:pStyle w:val="BodyText"/>
        <w:spacing w:after="0"/>
        <w:jc w:val="center"/>
        <w:rPr>
          <w:b/>
          <w:sz w:val="18"/>
          <w:szCs w:val="18"/>
        </w:rPr>
      </w:pPr>
      <w:r w:rsidRPr="00323D5D">
        <w:rPr>
          <w:b/>
          <w:sz w:val="18"/>
          <w:szCs w:val="18"/>
        </w:rPr>
        <w:t xml:space="preserve">Table </w:t>
      </w:r>
      <w:r w:rsidR="00F3566B">
        <w:rPr>
          <w:b/>
          <w:sz w:val="18"/>
          <w:szCs w:val="18"/>
        </w:rPr>
        <w:t>29</w:t>
      </w:r>
      <w:r w:rsidRPr="00323D5D">
        <w:rPr>
          <w:b/>
          <w:sz w:val="18"/>
          <w:szCs w:val="18"/>
        </w:rPr>
        <w:t xml:space="preserve">: </w:t>
      </w:r>
      <w:r w:rsidR="00962481">
        <w:rPr>
          <w:b/>
          <w:sz w:val="18"/>
          <w:szCs w:val="18"/>
        </w:rPr>
        <w:t>I-25 Project</w:t>
      </w:r>
      <w:r w:rsidRPr="00323D5D">
        <w:rPr>
          <w:b/>
          <w:sz w:val="18"/>
          <w:szCs w:val="18"/>
        </w:rPr>
        <w:t xml:space="preserve"> Capital Costs: </w:t>
      </w:r>
      <w:r w:rsidR="000702B7">
        <w:rPr>
          <w:b/>
          <w:sz w:val="18"/>
          <w:szCs w:val="18"/>
        </w:rPr>
        <w:t>Bus Related Infrastructure</w:t>
      </w:r>
    </w:p>
    <w:tbl>
      <w:tblPr>
        <w:tblW w:w="5000" w:type="pct"/>
        <w:jc w:val="center"/>
        <w:tblLook w:val="04A0" w:firstRow="1" w:lastRow="0" w:firstColumn="1" w:lastColumn="0" w:noHBand="0" w:noVBand="1"/>
      </w:tblPr>
      <w:tblGrid>
        <w:gridCol w:w="3009"/>
        <w:gridCol w:w="3846"/>
        <w:gridCol w:w="2721"/>
      </w:tblGrid>
      <w:tr w:rsidR="000702B7" w:rsidRPr="00323D5D" w:rsidTr="000702B7">
        <w:trPr>
          <w:trHeight w:val="288"/>
          <w:jc w:val="center"/>
        </w:trPr>
        <w:tc>
          <w:tcPr>
            <w:tcW w:w="1571" w:type="pct"/>
            <w:vMerge w:val="restart"/>
            <w:tcBorders>
              <w:top w:val="single" w:sz="4" w:space="0" w:color="auto"/>
              <w:left w:val="single" w:sz="4" w:space="0" w:color="auto"/>
              <w:right w:val="single" w:sz="4" w:space="0" w:color="auto"/>
            </w:tcBorders>
            <w:shd w:val="clear" w:color="auto" w:fill="auto"/>
            <w:noWrap/>
            <w:vAlign w:val="center"/>
            <w:hideMark/>
          </w:tcPr>
          <w:p w:rsidR="000702B7" w:rsidRPr="00323D5D" w:rsidRDefault="000702B7" w:rsidP="00A900BB">
            <w:pPr>
              <w:spacing w:line="240" w:lineRule="auto"/>
              <w:jc w:val="center"/>
              <w:rPr>
                <w:color w:val="000000"/>
                <w:szCs w:val="22"/>
              </w:rPr>
            </w:pPr>
            <w:r w:rsidRPr="00323D5D">
              <w:rPr>
                <w:color w:val="000000"/>
                <w:szCs w:val="22"/>
              </w:rPr>
              <w:t>Constituent Cost Component</w:t>
            </w:r>
          </w:p>
        </w:tc>
        <w:tc>
          <w:tcPr>
            <w:tcW w:w="342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jc w:val="center"/>
              <w:rPr>
                <w:b/>
                <w:color w:val="000000"/>
                <w:szCs w:val="22"/>
              </w:rPr>
            </w:pPr>
            <w:r>
              <w:rPr>
                <w:b/>
                <w:color w:val="000000"/>
                <w:szCs w:val="22"/>
              </w:rPr>
              <w:t>Bus Related Infrastructure</w:t>
            </w:r>
          </w:p>
        </w:tc>
      </w:tr>
      <w:tr w:rsidR="000702B7" w:rsidRPr="00323D5D" w:rsidTr="000702B7">
        <w:trPr>
          <w:trHeight w:val="288"/>
          <w:jc w:val="center"/>
        </w:trPr>
        <w:tc>
          <w:tcPr>
            <w:tcW w:w="1571" w:type="pct"/>
            <w:vMerge/>
            <w:tcBorders>
              <w:left w:val="single" w:sz="4" w:space="0" w:color="auto"/>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rPr>
                <w:color w:val="000000"/>
                <w:szCs w:val="22"/>
              </w:rPr>
            </w:pPr>
          </w:p>
        </w:tc>
        <w:tc>
          <w:tcPr>
            <w:tcW w:w="2008" w:type="pct"/>
            <w:tcBorders>
              <w:top w:val="nil"/>
              <w:left w:val="nil"/>
              <w:bottom w:val="single" w:sz="4" w:space="0" w:color="auto"/>
              <w:right w:val="single" w:sz="4" w:space="0" w:color="auto"/>
            </w:tcBorders>
            <w:shd w:val="clear" w:color="auto" w:fill="auto"/>
            <w:noWrap/>
            <w:vAlign w:val="bottom"/>
          </w:tcPr>
          <w:p w:rsidR="000702B7" w:rsidRPr="000702B7" w:rsidRDefault="000702B7" w:rsidP="000702B7">
            <w:pPr>
              <w:jc w:val="center"/>
              <w:rPr>
                <w:b/>
                <w:bCs/>
                <w:color w:val="000000"/>
                <w:szCs w:val="22"/>
              </w:rPr>
            </w:pPr>
            <w:r w:rsidRPr="000702B7">
              <w:rPr>
                <w:b/>
                <w:bCs/>
                <w:color w:val="000000"/>
                <w:szCs w:val="22"/>
              </w:rPr>
              <w:t>Bus Slip Ramps (New - Concrete)</w:t>
            </w:r>
          </w:p>
        </w:tc>
        <w:tc>
          <w:tcPr>
            <w:tcW w:w="1421" w:type="pct"/>
            <w:tcBorders>
              <w:top w:val="nil"/>
              <w:left w:val="nil"/>
              <w:bottom w:val="single" w:sz="4" w:space="0" w:color="auto"/>
              <w:right w:val="single" w:sz="4" w:space="0" w:color="auto"/>
            </w:tcBorders>
          </w:tcPr>
          <w:p w:rsidR="000702B7" w:rsidRPr="000702B7" w:rsidRDefault="000702B7" w:rsidP="000702B7">
            <w:pPr>
              <w:jc w:val="center"/>
              <w:rPr>
                <w:b/>
                <w:bCs/>
                <w:color w:val="000000"/>
                <w:szCs w:val="22"/>
              </w:rPr>
            </w:pPr>
            <w:r w:rsidRPr="000702B7">
              <w:rPr>
                <w:b/>
                <w:bCs/>
                <w:color w:val="000000"/>
                <w:szCs w:val="22"/>
              </w:rPr>
              <w:t>Park and Ride</w:t>
            </w:r>
          </w:p>
        </w:tc>
      </w:tr>
      <w:tr w:rsidR="000702B7" w:rsidRPr="00323D5D" w:rsidTr="00B95D49">
        <w:trPr>
          <w:trHeight w:val="288"/>
          <w:jc w:val="center"/>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rPr>
                <w:color w:val="000000"/>
                <w:szCs w:val="22"/>
              </w:rPr>
            </w:pPr>
            <w:r w:rsidRPr="00323D5D">
              <w:rPr>
                <w:color w:val="000000"/>
                <w:szCs w:val="22"/>
              </w:rPr>
              <w:t>Construction Capital</w:t>
            </w:r>
          </w:p>
        </w:tc>
        <w:tc>
          <w:tcPr>
            <w:tcW w:w="2008" w:type="pct"/>
            <w:tcBorders>
              <w:top w:val="nil"/>
              <w:left w:val="nil"/>
              <w:bottom w:val="single" w:sz="4" w:space="0" w:color="auto"/>
              <w:right w:val="single" w:sz="4" w:space="0" w:color="auto"/>
            </w:tcBorders>
            <w:shd w:val="clear" w:color="auto" w:fill="auto"/>
            <w:noWrap/>
            <w:vAlign w:val="bottom"/>
          </w:tcPr>
          <w:p w:rsidR="000702B7" w:rsidRPr="000702B7" w:rsidRDefault="000702B7" w:rsidP="000702B7">
            <w:pPr>
              <w:jc w:val="center"/>
              <w:rPr>
                <w:color w:val="000000"/>
                <w:szCs w:val="22"/>
              </w:rPr>
            </w:pPr>
            <w:r w:rsidRPr="000702B7">
              <w:rPr>
                <w:color w:val="000000"/>
                <w:szCs w:val="22"/>
              </w:rPr>
              <w:t>$                                               2,376,700</w:t>
            </w:r>
          </w:p>
        </w:tc>
        <w:tc>
          <w:tcPr>
            <w:tcW w:w="1421" w:type="pct"/>
            <w:tcBorders>
              <w:top w:val="nil"/>
              <w:left w:val="nil"/>
              <w:bottom w:val="single" w:sz="4" w:space="0" w:color="auto"/>
              <w:right w:val="single" w:sz="4" w:space="0" w:color="auto"/>
            </w:tcBorders>
            <w:vAlign w:val="bottom"/>
          </w:tcPr>
          <w:p w:rsidR="000702B7" w:rsidRPr="000702B7" w:rsidRDefault="000702B7" w:rsidP="000702B7">
            <w:pPr>
              <w:jc w:val="center"/>
              <w:rPr>
                <w:color w:val="000000"/>
                <w:szCs w:val="22"/>
              </w:rPr>
            </w:pPr>
            <w:r w:rsidRPr="000702B7">
              <w:rPr>
                <w:color w:val="000000"/>
                <w:szCs w:val="22"/>
              </w:rPr>
              <w:t>$         2,741,100</w:t>
            </w:r>
          </w:p>
        </w:tc>
      </w:tr>
      <w:tr w:rsidR="000702B7" w:rsidRPr="00323D5D" w:rsidTr="00B95D49">
        <w:trPr>
          <w:trHeight w:val="288"/>
          <w:jc w:val="center"/>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rPr>
                <w:color w:val="000000"/>
                <w:szCs w:val="22"/>
              </w:rPr>
            </w:pPr>
            <w:r w:rsidRPr="00323D5D">
              <w:rPr>
                <w:color w:val="000000"/>
                <w:szCs w:val="22"/>
              </w:rPr>
              <w:t>R/W (and Utilities)</w:t>
            </w:r>
          </w:p>
        </w:tc>
        <w:tc>
          <w:tcPr>
            <w:tcW w:w="2008" w:type="pct"/>
            <w:tcBorders>
              <w:top w:val="nil"/>
              <w:left w:val="nil"/>
              <w:bottom w:val="single" w:sz="4" w:space="0" w:color="auto"/>
              <w:right w:val="single" w:sz="4" w:space="0" w:color="auto"/>
            </w:tcBorders>
            <w:shd w:val="clear" w:color="auto" w:fill="auto"/>
            <w:noWrap/>
            <w:vAlign w:val="bottom"/>
          </w:tcPr>
          <w:p w:rsidR="000702B7" w:rsidRPr="000702B7" w:rsidRDefault="000702B7" w:rsidP="000702B7">
            <w:pPr>
              <w:jc w:val="center"/>
              <w:rPr>
                <w:color w:val="000000"/>
                <w:szCs w:val="22"/>
              </w:rPr>
            </w:pPr>
            <w:r w:rsidRPr="000702B7">
              <w:rPr>
                <w:color w:val="000000"/>
                <w:szCs w:val="22"/>
              </w:rPr>
              <w:t>$                                               1,132,300</w:t>
            </w:r>
          </w:p>
        </w:tc>
        <w:tc>
          <w:tcPr>
            <w:tcW w:w="1421" w:type="pct"/>
            <w:tcBorders>
              <w:top w:val="nil"/>
              <w:left w:val="nil"/>
              <w:bottom w:val="single" w:sz="4" w:space="0" w:color="auto"/>
              <w:right w:val="single" w:sz="4" w:space="0" w:color="auto"/>
            </w:tcBorders>
            <w:vAlign w:val="bottom"/>
          </w:tcPr>
          <w:p w:rsidR="000702B7" w:rsidRPr="000702B7" w:rsidRDefault="000702B7" w:rsidP="000702B7">
            <w:pPr>
              <w:jc w:val="center"/>
              <w:rPr>
                <w:color w:val="000000"/>
                <w:szCs w:val="22"/>
              </w:rPr>
            </w:pPr>
            <w:r w:rsidRPr="000702B7">
              <w:rPr>
                <w:color w:val="000000"/>
                <w:szCs w:val="22"/>
              </w:rPr>
              <w:t>$         1,477,500</w:t>
            </w:r>
          </w:p>
        </w:tc>
      </w:tr>
      <w:tr w:rsidR="000702B7" w:rsidRPr="00323D5D" w:rsidTr="00B95D49">
        <w:trPr>
          <w:trHeight w:val="288"/>
          <w:jc w:val="center"/>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rPr>
                <w:color w:val="000000"/>
                <w:szCs w:val="22"/>
              </w:rPr>
            </w:pPr>
            <w:r w:rsidRPr="00323D5D">
              <w:rPr>
                <w:color w:val="000000"/>
                <w:szCs w:val="22"/>
              </w:rPr>
              <w:t>Professional (Design, PM, CM)</w:t>
            </w:r>
          </w:p>
        </w:tc>
        <w:tc>
          <w:tcPr>
            <w:tcW w:w="2008" w:type="pct"/>
            <w:tcBorders>
              <w:top w:val="nil"/>
              <w:left w:val="nil"/>
              <w:bottom w:val="single" w:sz="4" w:space="0" w:color="auto"/>
              <w:right w:val="single" w:sz="4" w:space="0" w:color="auto"/>
            </w:tcBorders>
            <w:shd w:val="clear" w:color="auto" w:fill="auto"/>
            <w:noWrap/>
            <w:vAlign w:val="bottom"/>
          </w:tcPr>
          <w:p w:rsidR="000702B7" w:rsidRPr="000702B7" w:rsidRDefault="000702B7" w:rsidP="000702B7">
            <w:pPr>
              <w:jc w:val="center"/>
              <w:rPr>
                <w:color w:val="000000"/>
                <w:szCs w:val="22"/>
              </w:rPr>
            </w:pPr>
            <w:r w:rsidRPr="000702B7">
              <w:rPr>
                <w:color w:val="000000"/>
                <w:szCs w:val="22"/>
              </w:rPr>
              <w:t>$                                                  738,700</w:t>
            </w:r>
          </w:p>
        </w:tc>
        <w:tc>
          <w:tcPr>
            <w:tcW w:w="1421" w:type="pct"/>
            <w:tcBorders>
              <w:top w:val="nil"/>
              <w:left w:val="nil"/>
              <w:bottom w:val="single" w:sz="4" w:space="0" w:color="auto"/>
              <w:right w:val="single" w:sz="4" w:space="0" w:color="auto"/>
            </w:tcBorders>
            <w:vAlign w:val="bottom"/>
          </w:tcPr>
          <w:p w:rsidR="000702B7" w:rsidRPr="000702B7" w:rsidRDefault="000702B7" w:rsidP="000702B7">
            <w:pPr>
              <w:jc w:val="center"/>
              <w:rPr>
                <w:color w:val="000000"/>
                <w:szCs w:val="22"/>
              </w:rPr>
            </w:pPr>
            <w:r w:rsidRPr="000702B7">
              <w:rPr>
                <w:color w:val="000000"/>
                <w:szCs w:val="22"/>
              </w:rPr>
              <w:t>$            805,300</w:t>
            </w:r>
          </w:p>
        </w:tc>
      </w:tr>
      <w:tr w:rsidR="000702B7" w:rsidRPr="00323D5D" w:rsidTr="00B95D49">
        <w:trPr>
          <w:trHeight w:val="288"/>
          <w:jc w:val="center"/>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0702B7" w:rsidRPr="00323D5D" w:rsidRDefault="000702B7" w:rsidP="00A900BB">
            <w:pPr>
              <w:spacing w:line="240" w:lineRule="auto"/>
              <w:rPr>
                <w:b/>
                <w:color w:val="000000"/>
                <w:szCs w:val="22"/>
              </w:rPr>
            </w:pPr>
            <w:r w:rsidRPr="00323D5D">
              <w:rPr>
                <w:b/>
                <w:color w:val="000000"/>
                <w:szCs w:val="22"/>
              </w:rPr>
              <w:t>TOTAL</w:t>
            </w:r>
          </w:p>
        </w:tc>
        <w:tc>
          <w:tcPr>
            <w:tcW w:w="2008" w:type="pct"/>
            <w:tcBorders>
              <w:top w:val="nil"/>
              <w:left w:val="nil"/>
              <w:bottom w:val="single" w:sz="4" w:space="0" w:color="auto"/>
              <w:right w:val="single" w:sz="4" w:space="0" w:color="auto"/>
            </w:tcBorders>
            <w:shd w:val="clear" w:color="auto" w:fill="auto"/>
            <w:noWrap/>
            <w:vAlign w:val="bottom"/>
          </w:tcPr>
          <w:p w:rsidR="000702B7" w:rsidRPr="000702B7" w:rsidRDefault="000702B7" w:rsidP="000702B7">
            <w:pPr>
              <w:jc w:val="center"/>
              <w:rPr>
                <w:b/>
                <w:bCs/>
                <w:color w:val="000000"/>
                <w:szCs w:val="22"/>
              </w:rPr>
            </w:pPr>
            <w:r w:rsidRPr="000702B7">
              <w:rPr>
                <w:b/>
                <w:bCs/>
                <w:color w:val="000000"/>
                <w:szCs w:val="22"/>
              </w:rPr>
              <w:t>$                                               4,247,700</w:t>
            </w:r>
          </w:p>
        </w:tc>
        <w:tc>
          <w:tcPr>
            <w:tcW w:w="1421" w:type="pct"/>
            <w:tcBorders>
              <w:top w:val="nil"/>
              <w:left w:val="nil"/>
              <w:bottom w:val="single" w:sz="4" w:space="0" w:color="auto"/>
              <w:right w:val="single" w:sz="4" w:space="0" w:color="auto"/>
            </w:tcBorders>
            <w:vAlign w:val="bottom"/>
          </w:tcPr>
          <w:p w:rsidR="000702B7" w:rsidRPr="000702B7" w:rsidRDefault="000702B7" w:rsidP="000702B7">
            <w:pPr>
              <w:jc w:val="center"/>
              <w:rPr>
                <w:b/>
                <w:bCs/>
                <w:color w:val="000000"/>
                <w:szCs w:val="22"/>
              </w:rPr>
            </w:pPr>
            <w:r w:rsidRPr="000702B7">
              <w:rPr>
                <w:b/>
                <w:bCs/>
                <w:color w:val="000000"/>
                <w:szCs w:val="22"/>
              </w:rPr>
              <w:t>$        5,023,900</w:t>
            </w:r>
          </w:p>
        </w:tc>
      </w:tr>
    </w:tbl>
    <w:p w:rsidR="002072FC" w:rsidRPr="00323D5D" w:rsidRDefault="002072FC" w:rsidP="0029208D">
      <w:pPr>
        <w:pStyle w:val="BodyText"/>
        <w:rPr>
          <w:sz w:val="16"/>
          <w:szCs w:val="16"/>
        </w:rPr>
      </w:pPr>
      <w:r w:rsidRPr="00323D5D">
        <w:rPr>
          <w:sz w:val="16"/>
          <w:szCs w:val="16"/>
        </w:rPr>
        <w:t>Source: AECOM, Atkins</w:t>
      </w:r>
    </w:p>
    <w:p w:rsidR="00CD4DC8" w:rsidRPr="00323D5D" w:rsidRDefault="00CD4DC8" w:rsidP="00CD4DC8">
      <w:pPr>
        <w:pStyle w:val="Heading3"/>
        <w:rPr>
          <w:rFonts w:ascii="Times New Roman" w:hAnsi="Times New Roman" w:cs="Times New Roman"/>
        </w:rPr>
      </w:pPr>
      <w:bookmarkStart w:id="160" w:name="_Toc448780350"/>
      <w:r w:rsidRPr="00323D5D">
        <w:rPr>
          <w:rFonts w:ascii="Times New Roman" w:hAnsi="Times New Roman" w:cs="Times New Roman"/>
        </w:rPr>
        <w:t>Schedule of Construction Expenditures</w:t>
      </w:r>
      <w:bookmarkEnd w:id="160"/>
    </w:p>
    <w:p w:rsidR="00CD4DC8" w:rsidRPr="00323D5D" w:rsidRDefault="00CD4DC8" w:rsidP="00CD4DC8">
      <w:pPr>
        <w:pStyle w:val="BodyText"/>
      </w:pPr>
      <w:r w:rsidRPr="00323D5D">
        <w:t xml:space="preserve">Construction is scheduled to commence at the beginning of 2018 and to complete at the end of 2020 with the managed lanes beginning operation at the start of 2021.   Capital costs are assumed to be expended at a constant rate of approximately $19.1 million per quarter from the project’s onset through to its conclusion.  </w:t>
      </w:r>
      <w:r w:rsidR="0029208D" w:rsidRPr="00323D5D">
        <w:t>An additional $12.9</w:t>
      </w:r>
      <w:r w:rsidR="00E61697">
        <w:t xml:space="preserve"> million</w:t>
      </w:r>
      <w:r w:rsidR="0029208D" w:rsidRPr="00323D5D">
        <w:t xml:space="preserve"> (present value) will </w:t>
      </w:r>
      <w:r w:rsidR="00E7271F">
        <w:t xml:space="preserve">be </w:t>
      </w:r>
      <w:r w:rsidR="0029208D" w:rsidRPr="00323D5D">
        <w:t xml:space="preserve">expended in 2031 when those sections of general purpose lane with rehabilitated asphalt pavement will need to be replaced. </w:t>
      </w:r>
    </w:p>
    <w:p w:rsidR="00B51C00" w:rsidRPr="00323D5D" w:rsidRDefault="00B51C00" w:rsidP="006A21C2">
      <w:pPr>
        <w:pStyle w:val="Heading2"/>
      </w:pPr>
      <w:bookmarkStart w:id="161" w:name="_Toc448780351"/>
      <w:r w:rsidRPr="00323D5D">
        <w:t>Annual Operating and Maintenance Costs</w:t>
      </w:r>
      <w:bookmarkEnd w:id="161"/>
    </w:p>
    <w:p w:rsidR="00F807D2" w:rsidRDefault="00617840" w:rsidP="003A3947">
      <w:pPr>
        <w:pStyle w:val="BodyText"/>
      </w:pPr>
      <w:r w:rsidRPr="00323D5D">
        <w:t xml:space="preserve">Operation and maintenance costs are applied to the highway corridor, comprising general purpose and managed lanes, on a per lane </w:t>
      </w:r>
      <w:r w:rsidR="00CD4DC8" w:rsidRPr="00323D5D">
        <w:t xml:space="preserve">mile </w:t>
      </w:r>
      <w:r w:rsidRPr="00323D5D">
        <w:t xml:space="preserve">basis.  </w:t>
      </w:r>
      <w:r w:rsidRPr="00DE3D97">
        <w:t xml:space="preserve">As discussed in Section </w:t>
      </w:r>
      <w:r w:rsidR="007A74DF" w:rsidRPr="00DE3D97">
        <w:t>2</w:t>
      </w:r>
      <w:r w:rsidR="00CD4DC8" w:rsidRPr="00DE3D97">
        <w:t>.</w:t>
      </w:r>
      <w:r w:rsidR="00E61697" w:rsidRPr="00DE3D97">
        <w:t>1</w:t>
      </w:r>
      <w:r w:rsidR="00CD4DC8" w:rsidRPr="00DE3D97">
        <w:t>.</w:t>
      </w:r>
      <w:r w:rsidR="00E61697" w:rsidRPr="00DE3D97">
        <w:t>4.1</w:t>
      </w:r>
      <w:r w:rsidR="00CD4DC8" w:rsidRPr="00DE3D97">
        <w:t xml:space="preserve">, </w:t>
      </w:r>
      <w:r w:rsidR="00DD5D94" w:rsidRPr="00DE3D97">
        <w:t>the</w:t>
      </w:r>
      <w:r w:rsidR="00DD5D94" w:rsidRPr="00323D5D">
        <w:t xml:space="preserve"> annual O&amp;M cost for the highway corridor is $7,300/lane mile for the first ten year of operation, and $14,200/lane mile thereafter to the </w:t>
      </w:r>
      <w:r w:rsidR="00F807D2">
        <w:t>end of their useful life</w:t>
      </w:r>
      <w:r w:rsidR="00DD5D94" w:rsidRPr="00323D5D">
        <w:t xml:space="preserve">.  </w:t>
      </w:r>
    </w:p>
    <w:p w:rsidR="001E711C" w:rsidRDefault="003A3947" w:rsidP="003A3947">
      <w:pPr>
        <w:pStyle w:val="BodyText"/>
      </w:pPr>
      <w:r w:rsidRPr="00323D5D">
        <w:t xml:space="preserve">Baseline O&amp;M costs for bridges are largely comprised of scheduled maintenance and are based on actual annual costs incurred.  Other maintenance costs are associated with unscheduled maintenance associated with inspections and repairs following flood events.   Current O&amp;M costs for </w:t>
      </w:r>
      <w:r w:rsidR="007661A3">
        <w:t>bridges</w:t>
      </w:r>
      <w:r w:rsidR="007661A3" w:rsidRPr="00323D5D">
        <w:t xml:space="preserve"> </w:t>
      </w:r>
      <w:r w:rsidRPr="00323D5D">
        <w:t xml:space="preserve">within the assessment corridor are not available.  </w:t>
      </w:r>
      <w:r w:rsidR="00F807D2" w:rsidRPr="00323D5D">
        <w:t>In the absence of maintenance schedules for both the bridges proposed for widening and rehabilitation and those proposed for replacement, this analysis assumes that operations and maintenance costs of these structures will be equal to 0.5% of the capital cost per annum.</w:t>
      </w:r>
      <w:r w:rsidR="00F807D2">
        <w:t xml:space="preserve"> </w:t>
      </w:r>
      <w:r w:rsidRPr="00323D5D">
        <w:t xml:space="preserve">To allow for equal consideration of O&amp;M costs for the baseline scenario, this analysis assumes that operations and maintenance costs of these structures will be equal to an annual 0.5% of the capital cost associated with the widening and replacement of these structures in the build scenario.  Under this rationale, </w:t>
      </w:r>
      <w:r w:rsidR="001E711C">
        <w:t>the only material</w:t>
      </w:r>
      <w:r w:rsidRPr="00323D5D">
        <w:t xml:space="preserve"> differen</w:t>
      </w:r>
      <w:r w:rsidR="001E711C">
        <w:t>ce</w:t>
      </w:r>
      <w:r w:rsidRPr="00323D5D">
        <w:t xml:space="preserve"> in O&amp;M costs for </w:t>
      </w:r>
      <w:r w:rsidR="001E711C">
        <w:t>bridges</w:t>
      </w:r>
      <w:r w:rsidRPr="00323D5D">
        <w:t xml:space="preserve"> between the baseline and build scenario</w:t>
      </w:r>
      <w:r w:rsidR="001E711C">
        <w:t xml:space="preserve"> is the additional of the Kendall Parkway Underpass and its associated O&amp;M costs. </w:t>
      </w:r>
    </w:p>
    <w:p w:rsidR="003A3947" w:rsidRDefault="001E711C" w:rsidP="003A3947">
      <w:pPr>
        <w:pStyle w:val="BodyText"/>
      </w:pPr>
      <w:r>
        <w:t>For the Park and Ride facility near the US34/I-25 interchange, a conservative annual O&amp;M cost equal to 3% of its non-right of way capital costs has been assumed</w:t>
      </w:r>
      <w:r w:rsidR="003A3947" w:rsidRPr="00323D5D">
        <w:t xml:space="preserve"> </w:t>
      </w:r>
      <w:r>
        <w:t xml:space="preserve">for operations, snow clearance, striping and resurfacing.   </w:t>
      </w:r>
    </w:p>
    <w:p w:rsidR="00617840" w:rsidRDefault="00DD5D94" w:rsidP="003A3947">
      <w:pPr>
        <w:pStyle w:val="BodyText"/>
      </w:pPr>
      <w:r w:rsidRPr="00323D5D">
        <w:lastRenderedPageBreak/>
        <w:t xml:space="preserve">The </w:t>
      </w:r>
      <w:r w:rsidR="003110A4" w:rsidRPr="00323D5D">
        <w:t xml:space="preserve">annual </w:t>
      </w:r>
      <w:r w:rsidRPr="00323D5D">
        <w:t xml:space="preserve">cost of O&amp;M of </w:t>
      </w:r>
      <w:r w:rsidR="003A3947" w:rsidRPr="00323D5D">
        <w:t>all components of the assessment</w:t>
      </w:r>
      <w:r w:rsidRPr="00323D5D">
        <w:t xml:space="preserve"> is summarized in Table </w:t>
      </w:r>
      <w:r w:rsidR="00F807D2">
        <w:t>3</w:t>
      </w:r>
      <w:r w:rsidR="00F3566B">
        <w:t>0</w:t>
      </w:r>
      <w:r w:rsidRPr="00323D5D">
        <w:t>.</w:t>
      </w:r>
      <w:r w:rsidR="00466B45">
        <w:t xml:space="preserve">  Additional costs to replace components of the general purpose lanes at the end of their useful lives are indicated for 2031. </w:t>
      </w:r>
    </w:p>
    <w:p w:rsidR="00DD5D94" w:rsidRDefault="00DD5D94" w:rsidP="00DD5D94">
      <w:pPr>
        <w:pStyle w:val="BodyText"/>
        <w:spacing w:after="0"/>
        <w:jc w:val="center"/>
        <w:rPr>
          <w:b/>
          <w:sz w:val="18"/>
          <w:szCs w:val="18"/>
        </w:rPr>
      </w:pPr>
      <w:r w:rsidRPr="00323D5D">
        <w:rPr>
          <w:b/>
          <w:sz w:val="18"/>
          <w:szCs w:val="18"/>
        </w:rPr>
        <w:t xml:space="preserve">Table </w:t>
      </w:r>
      <w:r w:rsidR="00F807D2">
        <w:rPr>
          <w:b/>
          <w:sz w:val="18"/>
          <w:szCs w:val="18"/>
        </w:rPr>
        <w:t>3</w:t>
      </w:r>
      <w:r w:rsidR="00F3566B">
        <w:rPr>
          <w:b/>
          <w:sz w:val="18"/>
          <w:szCs w:val="18"/>
        </w:rPr>
        <w:t>0</w:t>
      </w:r>
      <w:r w:rsidRPr="00323D5D">
        <w:rPr>
          <w:b/>
          <w:sz w:val="18"/>
          <w:szCs w:val="18"/>
        </w:rPr>
        <w:t xml:space="preserve">: </w:t>
      </w:r>
      <w:r w:rsidR="003110A4" w:rsidRPr="00323D5D">
        <w:rPr>
          <w:b/>
          <w:sz w:val="18"/>
          <w:szCs w:val="18"/>
        </w:rPr>
        <w:t xml:space="preserve">Annual </w:t>
      </w:r>
      <w:r w:rsidRPr="00323D5D">
        <w:rPr>
          <w:b/>
          <w:sz w:val="18"/>
          <w:szCs w:val="18"/>
        </w:rPr>
        <w:t xml:space="preserve">Operations and Maintenance Costs </w:t>
      </w:r>
      <w:r w:rsidR="003110A4" w:rsidRPr="00323D5D">
        <w:rPr>
          <w:b/>
          <w:sz w:val="18"/>
          <w:szCs w:val="18"/>
        </w:rPr>
        <w:t xml:space="preserve">– </w:t>
      </w:r>
      <w:r w:rsidR="003A3947" w:rsidRPr="00323D5D">
        <w:rPr>
          <w:b/>
          <w:sz w:val="18"/>
          <w:szCs w:val="18"/>
        </w:rPr>
        <w:t>Assessment Corridor (2021-2040)</w:t>
      </w:r>
    </w:p>
    <w:tbl>
      <w:tblPr>
        <w:tblW w:w="5000" w:type="pct"/>
        <w:tblLook w:val="04A0" w:firstRow="1" w:lastRow="0" w:firstColumn="1" w:lastColumn="0" w:noHBand="0" w:noVBand="1"/>
      </w:tblPr>
      <w:tblGrid>
        <w:gridCol w:w="4414"/>
        <w:gridCol w:w="700"/>
        <w:gridCol w:w="770"/>
        <w:gridCol w:w="770"/>
        <w:gridCol w:w="778"/>
        <w:gridCol w:w="770"/>
        <w:gridCol w:w="656"/>
        <w:gridCol w:w="718"/>
      </w:tblGrid>
      <w:tr w:rsidR="00F807D2" w:rsidRPr="005C7EE3" w:rsidTr="005C7EE3">
        <w:trPr>
          <w:trHeight w:val="288"/>
        </w:trPr>
        <w:tc>
          <w:tcPr>
            <w:tcW w:w="1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D2" w:rsidRPr="006A21C2" w:rsidRDefault="00F807D2" w:rsidP="00F807D2">
            <w:pPr>
              <w:spacing w:line="240" w:lineRule="auto"/>
              <w:rPr>
                <w:color w:val="000000"/>
                <w:szCs w:val="22"/>
              </w:rPr>
            </w:pPr>
            <w:r w:rsidRPr="006A21C2">
              <w:rPr>
                <w:color w:val="000000"/>
                <w:szCs w:val="22"/>
              </w:rPr>
              <w:t> </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2021</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2025</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2030</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2031*</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2035</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jc w:val="right"/>
              <w:rPr>
                <w:b/>
                <w:bCs/>
                <w:color w:val="000000"/>
                <w:szCs w:val="22"/>
              </w:rPr>
            </w:pPr>
            <w:r w:rsidRPr="005C7EE3">
              <w:rPr>
                <w:b/>
                <w:bCs/>
                <w:color w:val="000000"/>
                <w:szCs w:val="22"/>
              </w:rPr>
              <w:t>2040</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F807D2" w:rsidRPr="005C7EE3" w:rsidRDefault="00F807D2" w:rsidP="00F807D2">
            <w:pPr>
              <w:spacing w:line="240" w:lineRule="auto"/>
              <w:rPr>
                <w:b/>
                <w:bCs/>
                <w:color w:val="000000"/>
                <w:szCs w:val="22"/>
              </w:rPr>
            </w:pPr>
            <w:r w:rsidRPr="005C7EE3">
              <w:rPr>
                <w:b/>
                <w:bCs/>
                <w:color w:val="000000"/>
                <w:szCs w:val="22"/>
              </w:rPr>
              <w:t>Total</w:t>
            </w:r>
          </w:p>
        </w:tc>
      </w:tr>
      <w:tr w:rsidR="005C7EE3" w:rsidRPr="005C7EE3" w:rsidTr="005C7EE3">
        <w:trPr>
          <w:trHeight w:val="288"/>
        </w:trPr>
        <w:tc>
          <w:tcPr>
            <w:tcW w:w="1609" w:type="pct"/>
            <w:tcBorders>
              <w:top w:val="nil"/>
              <w:left w:val="single" w:sz="4" w:space="0" w:color="auto"/>
              <w:bottom w:val="single" w:sz="4" w:space="0" w:color="auto"/>
              <w:right w:val="single" w:sz="4" w:space="0" w:color="auto"/>
            </w:tcBorders>
            <w:shd w:val="clear" w:color="auto" w:fill="auto"/>
            <w:noWrap/>
            <w:vAlign w:val="center"/>
            <w:hideMark/>
          </w:tcPr>
          <w:p w:rsidR="005C7EE3" w:rsidRPr="005C7EE3" w:rsidRDefault="005C7EE3" w:rsidP="00F807D2">
            <w:pPr>
              <w:spacing w:line="240" w:lineRule="auto"/>
              <w:rPr>
                <w:color w:val="000000"/>
                <w:szCs w:val="22"/>
              </w:rPr>
            </w:pPr>
            <w:r w:rsidRPr="005C7EE3">
              <w:rPr>
                <w:color w:val="000000"/>
                <w:szCs w:val="22"/>
              </w:rPr>
              <w:t>Annual Operations and Maintenance Cost ($M)</w:t>
            </w:r>
          </w:p>
        </w:tc>
        <w:tc>
          <w:tcPr>
            <w:tcW w:w="47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1.0</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1.0</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1.0</w:t>
            </w:r>
          </w:p>
        </w:tc>
        <w:tc>
          <w:tcPr>
            <w:tcW w:w="51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14.3</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1.4</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1.4</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36.8</w:t>
            </w:r>
          </w:p>
        </w:tc>
      </w:tr>
      <w:tr w:rsidR="005C7EE3" w:rsidRPr="005C7EE3" w:rsidTr="005C7EE3">
        <w:trPr>
          <w:trHeight w:val="288"/>
        </w:trPr>
        <w:tc>
          <w:tcPr>
            <w:tcW w:w="1609" w:type="pct"/>
            <w:tcBorders>
              <w:top w:val="nil"/>
              <w:left w:val="single" w:sz="4" w:space="0" w:color="auto"/>
              <w:bottom w:val="single" w:sz="4" w:space="0" w:color="auto"/>
              <w:right w:val="single" w:sz="4" w:space="0" w:color="auto"/>
            </w:tcBorders>
            <w:shd w:val="clear" w:color="auto" w:fill="auto"/>
            <w:noWrap/>
            <w:vAlign w:val="center"/>
            <w:hideMark/>
          </w:tcPr>
          <w:p w:rsidR="005C7EE3" w:rsidRPr="005C7EE3" w:rsidRDefault="005C7EE3" w:rsidP="00F807D2">
            <w:pPr>
              <w:spacing w:line="240" w:lineRule="auto"/>
              <w:rPr>
                <w:color w:val="000000"/>
                <w:szCs w:val="22"/>
              </w:rPr>
            </w:pPr>
            <w:r w:rsidRPr="005C7EE3">
              <w:rPr>
                <w:color w:val="000000"/>
                <w:szCs w:val="22"/>
              </w:rPr>
              <w:t>Annual O&amp;M Cost discounted at 7% ($2016)</w:t>
            </w:r>
          </w:p>
        </w:tc>
        <w:tc>
          <w:tcPr>
            <w:tcW w:w="47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0.7</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0.5</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0.4</w:t>
            </w:r>
          </w:p>
        </w:tc>
        <w:tc>
          <w:tcPr>
            <w:tcW w:w="51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5.2</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0.4</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0.3</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13.8</w:t>
            </w:r>
          </w:p>
        </w:tc>
      </w:tr>
      <w:tr w:rsidR="005C7EE3" w:rsidRPr="005C7EE3" w:rsidTr="005C7EE3">
        <w:trPr>
          <w:trHeight w:val="288"/>
        </w:trPr>
        <w:tc>
          <w:tcPr>
            <w:tcW w:w="1609" w:type="pct"/>
            <w:tcBorders>
              <w:top w:val="nil"/>
              <w:left w:val="single" w:sz="4" w:space="0" w:color="auto"/>
              <w:bottom w:val="single" w:sz="4" w:space="0" w:color="auto"/>
              <w:right w:val="single" w:sz="4" w:space="0" w:color="auto"/>
            </w:tcBorders>
            <w:shd w:val="clear" w:color="auto" w:fill="auto"/>
            <w:noWrap/>
            <w:vAlign w:val="center"/>
            <w:hideMark/>
          </w:tcPr>
          <w:p w:rsidR="005C7EE3" w:rsidRPr="005C7EE3" w:rsidRDefault="005C7EE3" w:rsidP="00F807D2">
            <w:pPr>
              <w:spacing w:line="240" w:lineRule="auto"/>
              <w:rPr>
                <w:color w:val="000000"/>
                <w:szCs w:val="22"/>
              </w:rPr>
            </w:pPr>
            <w:r w:rsidRPr="005C7EE3">
              <w:rPr>
                <w:color w:val="000000"/>
                <w:szCs w:val="22"/>
              </w:rPr>
              <w:t>Annual O&amp;M Cost discounted at 3% ($2016)</w:t>
            </w:r>
          </w:p>
        </w:tc>
        <w:tc>
          <w:tcPr>
            <w:tcW w:w="47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0.9</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0.8</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0.7</w:t>
            </w:r>
          </w:p>
        </w:tc>
        <w:tc>
          <w:tcPr>
            <w:tcW w:w="518"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9.2</w:t>
            </w:r>
          </w:p>
        </w:tc>
        <w:tc>
          <w:tcPr>
            <w:tcW w:w="514"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0.8</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0.7</w:t>
            </w:r>
          </w:p>
        </w:tc>
        <w:tc>
          <w:tcPr>
            <w:tcW w:w="4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23.7</w:t>
            </w:r>
          </w:p>
        </w:tc>
      </w:tr>
    </w:tbl>
    <w:p w:rsidR="00BC2F1A" w:rsidRPr="00323D5D" w:rsidRDefault="003A3947" w:rsidP="00617840">
      <w:pPr>
        <w:pStyle w:val="BodyText"/>
        <w:rPr>
          <w:sz w:val="16"/>
          <w:szCs w:val="16"/>
        </w:rPr>
      </w:pPr>
      <w:r w:rsidRPr="005C7EE3">
        <w:rPr>
          <w:sz w:val="16"/>
          <w:szCs w:val="16"/>
        </w:rPr>
        <w:t xml:space="preserve">*Indicates year in which rehabilitated asphalt pavement general purpose lanes have reached the end of their useful life and need to be replaced. </w:t>
      </w:r>
      <w:r w:rsidR="00DD5D94" w:rsidRPr="005C7EE3">
        <w:rPr>
          <w:sz w:val="16"/>
          <w:szCs w:val="16"/>
        </w:rPr>
        <w:t xml:space="preserve">Source: Colorado Department of Transportation, </w:t>
      </w:r>
      <w:r w:rsidRPr="005C7EE3">
        <w:rPr>
          <w:sz w:val="16"/>
          <w:szCs w:val="16"/>
        </w:rPr>
        <w:t xml:space="preserve">Atkins, </w:t>
      </w:r>
      <w:r w:rsidR="00DD5D94" w:rsidRPr="005C7EE3">
        <w:rPr>
          <w:sz w:val="16"/>
          <w:szCs w:val="16"/>
        </w:rPr>
        <w:t>AECOM</w:t>
      </w:r>
    </w:p>
    <w:p w:rsidR="00BC2F1A" w:rsidRPr="00323D5D" w:rsidRDefault="00BC2F1A" w:rsidP="006A21C2">
      <w:pPr>
        <w:pStyle w:val="Heading2"/>
      </w:pPr>
      <w:bookmarkStart w:id="162" w:name="_Toc448780352"/>
      <w:r w:rsidRPr="00323D5D">
        <w:t>Discounted Capital and Operations and Maintenance Cost</w:t>
      </w:r>
      <w:r w:rsidR="00466B45">
        <w:t>s</w:t>
      </w:r>
      <w:bookmarkEnd w:id="162"/>
    </w:p>
    <w:p w:rsidR="00BC2F1A" w:rsidRPr="00323D5D" w:rsidRDefault="00BC2F1A" w:rsidP="00617840">
      <w:pPr>
        <w:pStyle w:val="BodyText"/>
      </w:pPr>
      <w:r w:rsidRPr="00323D5D">
        <w:t xml:space="preserve">The total costs associated with the construction, operations and maintenance of the </w:t>
      </w:r>
      <w:r w:rsidR="003B3E40">
        <w:t>I-25 Project</w:t>
      </w:r>
      <w:r w:rsidRPr="00323D5D">
        <w:t xml:space="preserve"> have are shown in $2016 in Table </w:t>
      </w:r>
      <w:r w:rsidR="00466B45">
        <w:t>3</w:t>
      </w:r>
      <w:r w:rsidR="00F3566B">
        <w:t>1</w:t>
      </w:r>
      <w:r w:rsidR="00466B45" w:rsidRPr="00323D5D">
        <w:t xml:space="preserve"> </w:t>
      </w:r>
      <w:r w:rsidRPr="00323D5D">
        <w:t>using both a 7% and 3% discount rate</w:t>
      </w:r>
      <w:r w:rsidR="00F14BC9">
        <w:t>.</w:t>
      </w:r>
    </w:p>
    <w:p w:rsidR="00BC2F1A" w:rsidRPr="00323D5D" w:rsidRDefault="00BC2F1A" w:rsidP="00BC2F1A">
      <w:pPr>
        <w:pStyle w:val="BodyText"/>
        <w:spacing w:after="0"/>
        <w:jc w:val="center"/>
        <w:rPr>
          <w:b/>
          <w:sz w:val="18"/>
          <w:szCs w:val="18"/>
        </w:rPr>
      </w:pPr>
      <w:r w:rsidRPr="00323D5D">
        <w:rPr>
          <w:b/>
          <w:sz w:val="18"/>
          <w:szCs w:val="18"/>
        </w:rPr>
        <w:t xml:space="preserve">Table </w:t>
      </w:r>
      <w:r w:rsidR="00466B45">
        <w:rPr>
          <w:b/>
          <w:sz w:val="18"/>
          <w:szCs w:val="18"/>
        </w:rPr>
        <w:t>3</w:t>
      </w:r>
      <w:r w:rsidR="00F3566B">
        <w:rPr>
          <w:b/>
          <w:sz w:val="18"/>
          <w:szCs w:val="18"/>
        </w:rPr>
        <w:t>1</w:t>
      </w:r>
      <w:r w:rsidRPr="00323D5D">
        <w:rPr>
          <w:b/>
          <w:sz w:val="18"/>
          <w:szCs w:val="18"/>
        </w:rPr>
        <w:t xml:space="preserve">: </w:t>
      </w:r>
      <w:r w:rsidR="00962481">
        <w:rPr>
          <w:b/>
          <w:sz w:val="18"/>
          <w:szCs w:val="18"/>
        </w:rPr>
        <w:t>I-25 Project</w:t>
      </w:r>
      <w:r w:rsidRPr="00323D5D">
        <w:rPr>
          <w:b/>
          <w:sz w:val="18"/>
          <w:szCs w:val="18"/>
        </w:rPr>
        <w:t xml:space="preserve"> Capital and Operations and Maintenance Costs - Discounted</w:t>
      </w:r>
    </w:p>
    <w:tbl>
      <w:tblPr>
        <w:tblW w:w="8180" w:type="dxa"/>
        <w:tblInd w:w="103" w:type="dxa"/>
        <w:tblLook w:val="04A0" w:firstRow="1" w:lastRow="0" w:firstColumn="1" w:lastColumn="0" w:noHBand="0" w:noVBand="1"/>
      </w:tblPr>
      <w:tblGrid>
        <w:gridCol w:w="4660"/>
        <w:gridCol w:w="1760"/>
        <w:gridCol w:w="1760"/>
      </w:tblGrid>
      <w:tr w:rsidR="00BC2F1A" w:rsidRPr="00323D5D" w:rsidTr="00FC4F48">
        <w:trPr>
          <w:trHeight w:val="288"/>
        </w:trPr>
        <w:tc>
          <w:tcPr>
            <w:tcW w:w="4660" w:type="dxa"/>
            <w:vMerge w:val="restart"/>
            <w:tcBorders>
              <w:top w:val="single" w:sz="4" w:space="0" w:color="auto"/>
              <w:left w:val="single" w:sz="4" w:space="0" w:color="auto"/>
              <w:right w:val="single" w:sz="4" w:space="0" w:color="auto"/>
            </w:tcBorders>
            <w:shd w:val="clear" w:color="000000" w:fill="FFFFFF"/>
            <w:noWrap/>
            <w:vAlign w:val="bottom"/>
          </w:tcPr>
          <w:p w:rsidR="00BC2F1A" w:rsidRPr="00323D5D" w:rsidRDefault="00BC2F1A" w:rsidP="00FC4F48">
            <w:pPr>
              <w:spacing w:line="240" w:lineRule="auto"/>
              <w:rPr>
                <w:color w:val="000000"/>
                <w:szCs w:val="22"/>
              </w:rPr>
            </w:pPr>
          </w:p>
        </w:tc>
        <w:tc>
          <w:tcPr>
            <w:tcW w:w="3520" w:type="dxa"/>
            <w:gridSpan w:val="2"/>
            <w:tcBorders>
              <w:top w:val="single" w:sz="4" w:space="0" w:color="auto"/>
              <w:left w:val="nil"/>
              <w:bottom w:val="single" w:sz="4" w:space="0" w:color="auto"/>
              <w:right w:val="single" w:sz="4" w:space="0" w:color="auto"/>
            </w:tcBorders>
            <w:shd w:val="clear" w:color="000000" w:fill="FFFFFF"/>
            <w:noWrap/>
            <w:vAlign w:val="bottom"/>
          </w:tcPr>
          <w:p w:rsidR="00BC2F1A" w:rsidRPr="00323D5D" w:rsidRDefault="00BC2F1A" w:rsidP="00FC4F48">
            <w:pPr>
              <w:spacing w:line="240" w:lineRule="auto"/>
              <w:jc w:val="center"/>
              <w:rPr>
                <w:b/>
                <w:color w:val="000000"/>
                <w:szCs w:val="22"/>
              </w:rPr>
            </w:pPr>
            <w:r w:rsidRPr="00323D5D">
              <w:rPr>
                <w:b/>
                <w:color w:val="000000"/>
                <w:szCs w:val="22"/>
              </w:rPr>
              <w:t>Discount Rate</w:t>
            </w:r>
          </w:p>
        </w:tc>
      </w:tr>
      <w:tr w:rsidR="00BC2F1A" w:rsidRPr="00323D5D" w:rsidTr="00FC4F48">
        <w:trPr>
          <w:trHeight w:val="288"/>
        </w:trPr>
        <w:tc>
          <w:tcPr>
            <w:tcW w:w="4660" w:type="dxa"/>
            <w:vMerge/>
            <w:tcBorders>
              <w:left w:val="single" w:sz="4" w:space="0" w:color="auto"/>
              <w:bottom w:val="single" w:sz="4" w:space="0" w:color="auto"/>
              <w:right w:val="single" w:sz="4" w:space="0" w:color="auto"/>
            </w:tcBorders>
            <w:shd w:val="clear" w:color="000000" w:fill="FFFFFF"/>
            <w:noWrap/>
            <w:vAlign w:val="bottom"/>
          </w:tcPr>
          <w:p w:rsidR="00BC2F1A" w:rsidRPr="00323D5D" w:rsidRDefault="00BC2F1A" w:rsidP="00FC4F48">
            <w:pPr>
              <w:spacing w:line="240" w:lineRule="auto"/>
              <w:rPr>
                <w:color w:val="000000"/>
                <w:szCs w:val="22"/>
              </w:rPr>
            </w:pPr>
          </w:p>
        </w:tc>
        <w:tc>
          <w:tcPr>
            <w:tcW w:w="1760" w:type="dxa"/>
            <w:tcBorders>
              <w:top w:val="single" w:sz="4" w:space="0" w:color="auto"/>
              <w:left w:val="nil"/>
              <w:bottom w:val="single" w:sz="4" w:space="0" w:color="auto"/>
              <w:right w:val="single" w:sz="4" w:space="0" w:color="auto"/>
            </w:tcBorders>
            <w:shd w:val="clear" w:color="000000" w:fill="FFFFFF"/>
            <w:noWrap/>
            <w:vAlign w:val="bottom"/>
          </w:tcPr>
          <w:p w:rsidR="00BC2F1A" w:rsidRPr="00323D5D" w:rsidRDefault="00BC2F1A" w:rsidP="00FC4F48">
            <w:pPr>
              <w:spacing w:line="240" w:lineRule="auto"/>
              <w:jc w:val="center"/>
              <w:rPr>
                <w:color w:val="000000"/>
                <w:szCs w:val="22"/>
              </w:rPr>
            </w:pPr>
            <w:r w:rsidRPr="00323D5D">
              <w:rPr>
                <w:color w:val="000000"/>
                <w:szCs w:val="22"/>
              </w:rPr>
              <w:t>7% ($2016M)</w:t>
            </w:r>
          </w:p>
        </w:tc>
        <w:tc>
          <w:tcPr>
            <w:tcW w:w="1760" w:type="dxa"/>
            <w:tcBorders>
              <w:top w:val="single" w:sz="4" w:space="0" w:color="auto"/>
              <w:left w:val="nil"/>
              <w:bottom w:val="single" w:sz="4" w:space="0" w:color="auto"/>
              <w:right w:val="single" w:sz="4" w:space="0" w:color="auto"/>
            </w:tcBorders>
            <w:shd w:val="clear" w:color="000000" w:fill="FFFFFF"/>
            <w:noWrap/>
            <w:vAlign w:val="bottom"/>
          </w:tcPr>
          <w:p w:rsidR="00BC2F1A" w:rsidRPr="00323D5D" w:rsidRDefault="00BC2F1A" w:rsidP="00FC4F48">
            <w:pPr>
              <w:spacing w:line="240" w:lineRule="auto"/>
              <w:jc w:val="center"/>
              <w:rPr>
                <w:color w:val="000000"/>
                <w:szCs w:val="22"/>
              </w:rPr>
            </w:pPr>
            <w:r w:rsidRPr="00323D5D">
              <w:rPr>
                <w:color w:val="000000"/>
                <w:szCs w:val="22"/>
              </w:rPr>
              <w:t>3% ($2016M)</w:t>
            </w:r>
          </w:p>
        </w:tc>
      </w:tr>
      <w:tr w:rsidR="001E711C" w:rsidRPr="00323D5D" w:rsidTr="00B95D49">
        <w:trPr>
          <w:trHeight w:val="288"/>
        </w:trPr>
        <w:tc>
          <w:tcPr>
            <w:tcW w:w="4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711C" w:rsidRPr="00323D5D" w:rsidRDefault="001E711C" w:rsidP="00FC4F48">
            <w:pPr>
              <w:spacing w:line="240" w:lineRule="auto"/>
              <w:rPr>
                <w:color w:val="000000"/>
                <w:szCs w:val="22"/>
              </w:rPr>
            </w:pPr>
            <w:r>
              <w:rPr>
                <w:color w:val="000000"/>
                <w:szCs w:val="22"/>
              </w:rPr>
              <w:t>I-25 Project</w:t>
            </w:r>
            <w:r w:rsidRPr="00323D5D">
              <w:rPr>
                <w:color w:val="000000"/>
                <w:szCs w:val="22"/>
              </w:rPr>
              <w:t xml:space="preserve"> Capital Costs</w:t>
            </w:r>
          </w:p>
        </w:tc>
        <w:tc>
          <w:tcPr>
            <w:tcW w:w="1760" w:type="dxa"/>
            <w:tcBorders>
              <w:top w:val="single" w:sz="4" w:space="0" w:color="auto"/>
              <w:left w:val="nil"/>
              <w:bottom w:val="single" w:sz="4" w:space="0" w:color="auto"/>
              <w:right w:val="single" w:sz="4" w:space="0" w:color="auto"/>
            </w:tcBorders>
            <w:shd w:val="clear" w:color="000000" w:fill="FFFFFF"/>
            <w:noWrap/>
          </w:tcPr>
          <w:p w:rsidR="001E711C" w:rsidRPr="003359F6" w:rsidRDefault="001E711C" w:rsidP="001E711C">
            <w:pPr>
              <w:jc w:val="center"/>
            </w:pPr>
            <w:r w:rsidRPr="003359F6">
              <w:t>$192.7</w:t>
            </w:r>
          </w:p>
        </w:tc>
        <w:tc>
          <w:tcPr>
            <w:tcW w:w="1760" w:type="dxa"/>
            <w:tcBorders>
              <w:top w:val="single" w:sz="4" w:space="0" w:color="auto"/>
              <w:left w:val="nil"/>
              <w:bottom w:val="single" w:sz="4" w:space="0" w:color="auto"/>
              <w:right w:val="single" w:sz="4" w:space="0" w:color="auto"/>
            </w:tcBorders>
            <w:shd w:val="clear" w:color="000000" w:fill="FFFFFF"/>
            <w:noWrap/>
          </w:tcPr>
          <w:p w:rsidR="001E711C" w:rsidRPr="003359F6" w:rsidRDefault="001E711C" w:rsidP="001E711C">
            <w:pPr>
              <w:jc w:val="center"/>
            </w:pPr>
            <w:r w:rsidRPr="003359F6">
              <w:t>$215.7</w:t>
            </w:r>
          </w:p>
        </w:tc>
      </w:tr>
      <w:tr w:rsidR="001E711C" w:rsidRPr="00323D5D" w:rsidTr="00B95D49">
        <w:trPr>
          <w:trHeight w:val="288"/>
        </w:trPr>
        <w:tc>
          <w:tcPr>
            <w:tcW w:w="4660" w:type="dxa"/>
            <w:tcBorders>
              <w:top w:val="nil"/>
              <w:left w:val="single" w:sz="4" w:space="0" w:color="auto"/>
              <w:bottom w:val="single" w:sz="4" w:space="0" w:color="auto"/>
              <w:right w:val="single" w:sz="4" w:space="0" w:color="auto"/>
            </w:tcBorders>
            <w:shd w:val="clear" w:color="000000" w:fill="FFFFFF"/>
            <w:noWrap/>
            <w:vAlign w:val="bottom"/>
            <w:hideMark/>
          </w:tcPr>
          <w:p w:rsidR="001E711C" w:rsidRPr="00323D5D" w:rsidRDefault="001E711C" w:rsidP="00FC4F48">
            <w:pPr>
              <w:spacing w:line="240" w:lineRule="auto"/>
              <w:rPr>
                <w:color w:val="000000"/>
                <w:szCs w:val="22"/>
              </w:rPr>
            </w:pPr>
            <w:r>
              <w:rPr>
                <w:color w:val="000000"/>
                <w:szCs w:val="22"/>
              </w:rPr>
              <w:t>I-25 Project</w:t>
            </w:r>
            <w:r w:rsidRPr="00323D5D">
              <w:rPr>
                <w:color w:val="000000"/>
                <w:szCs w:val="22"/>
              </w:rPr>
              <w:t xml:space="preserve">  O&amp;M Costs</w:t>
            </w:r>
          </w:p>
        </w:tc>
        <w:tc>
          <w:tcPr>
            <w:tcW w:w="1760" w:type="dxa"/>
            <w:tcBorders>
              <w:top w:val="nil"/>
              <w:left w:val="nil"/>
              <w:bottom w:val="single" w:sz="4" w:space="0" w:color="auto"/>
              <w:right w:val="single" w:sz="4" w:space="0" w:color="auto"/>
            </w:tcBorders>
            <w:shd w:val="clear" w:color="000000" w:fill="FFFFFF"/>
            <w:noWrap/>
            <w:hideMark/>
          </w:tcPr>
          <w:p w:rsidR="001E711C" w:rsidRPr="003359F6" w:rsidRDefault="001E711C" w:rsidP="001E711C">
            <w:pPr>
              <w:jc w:val="center"/>
            </w:pPr>
            <w:r w:rsidRPr="003359F6">
              <w:t>$13.8</w:t>
            </w:r>
          </w:p>
        </w:tc>
        <w:tc>
          <w:tcPr>
            <w:tcW w:w="1760" w:type="dxa"/>
            <w:tcBorders>
              <w:top w:val="nil"/>
              <w:left w:val="nil"/>
              <w:bottom w:val="single" w:sz="4" w:space="0" w:color="auto"/>
              <w:right w:val="single" w:sz="4" w:space="0" w:color="auto"/>
            </w:tcBorders>
            <w:shd w:val="clear" w:color="000000" w:fill="FFFFFF"/>
            <w:noWrap/>
            <w:hideMark/>
          </w:tcPr>
          <w:p w:rsidR="001E711C" w:rsidRPr="003359F6" w:rsidRDefault="001E711C" w:rsidP="001E711C">
            <w:pPr>
              <w:jc w:val="center"/>
            </w:pPr>
            <w:r w:rsidRPr="003359F6">
              <w:t>$23.7</w:t>
            </w:r>
          </w:p>
        </w:tc>
      </w:tr>
      <w:tr w:rsidR="001E711C" w:rsidRPr="00323D5D" w:rsidTr="00B95D49">
        <w:trPr>
          <w:trHeight w:val="288"/>
        </w:trPr>
        <w:tc>
          <w:tcPr>
            <w:tcW w:w="4660" w:type="dxa"/>
            <w:tcBorders>
              <w:top w:val="nil"/>
              <w:left w:val="single" w:sz="4" w:space="0" w:color="auto"/>
              <w:bottom w:val="single" w:sz="4" w:space="0" w:color="auto"/>
              <w:right w:val="single" w:sz="4" w:space="0" w:color="auto"/>
            </w:tcBorders>
            <w:shd w:val="clear" w:color="000000" w:fill="FFFFFF"/>
            <w:noWrap/>
            <w:vAlign w:val="bottom"/>
            <w:hideMark/>
          </w:tcPr>
          <w:p w:rsidR="001E711C" w:rsidRPr="00323D5D" w:rsidRDefault="001E711C" w:rsidP="00FC4F48">
            <w:pPr>
              <w:spacing w:line="240" w:lineRule="auto"/>
              <w:rPr>
                <w:b/>
                <w:bCs/>
                <w:i/>
                <w:iCs/>
                <w:color w:val="000000"/>
                <w:szCs w:val="22"/>
              </w:rPr>
            </w:pPr>
            <w:r w:rsidRPr="00323D5D">
              <w:rPr>
                <w:b/>
                <w:bCs/>
                <w:i/>
                <w:iCs/>
                <w:color w:val="000000"/>
                <w:szCs w:val="22"/>
              </w:rPr>
              <w:t>Total Costs</w:t>
            </w:r>
          </w:p>
        </w:tc>
        <w:tc>
          <w:tcPr>
            <w:tcW w:w="1760" w:type="dxa"/>
            <w:tcBorders>
              <w:top w:val="nil"/>
              <w:left w:val="nil"/>
              <w:bottom w:val="single" w:sz="4" w:space="0" w:color="auto"/>
              <w:right w:val="single" w:sz="4" w:space="0" w:color="auto"/>
            </w:tcBorders>
            <w:shd w:val="clear" w:color="000000" w:fill="FFFFFF"/>
            <w:noWrap/>
            <w:hideMark/>
          </w:tcPr>
          <w:p w:rsidR="001E711C" w:rsidRPr="001E711C" w:rsidRDefault="001E711C" w:rsidP="001E711C">
            <w:pPr>
              <w:jc w:val="center"/>
              <w:rPr>
                <w:b/>
              </w:rPr>
            </w:pPr>
            <w:r w:rsidRPr="001E711C">
              <w:rPr>
                <w:b/>
              </w:rPr>
              <w:t>$206.5</w:t>
            </w:r>
          </w:p>
        </w:tc>
        <w:tc>
          <w:tcPr>
            <w:tcW w:w="1760" w:type="dxa"/>
            <w:tcBorders>
              <w:top w:val="nil"/>
              <w:left w:val="nil"/>
              <w:bottom w:val="single" w:sz="4" w:space="0" w:color="auto"/>
              <w:right w:val="single" w:sz="4" w:space="0" w:color="auto"/>
            </w:tcBorders>
            <w:shd w:val="clear" w:color="000000" w:fill="FFFFFF"/>
            <w:noWrap/>
            <w:hideMark/>
          </w:tcPr>
          <w:p w:rsidR="001E711C" w:rsidRPr="001E711C" w:rsidRDefault="001E711C" w:rsidP="001E711C">
            <w:pPr>
              <w:jc w:val="center"/>
              <w:rPr>
                <w:b/>
              </w:rPr>
            </w:pPr>
            <w:r w:rsidRPr="001E711C">
              <w:rPr>
                <w:b/>
              </w:rPr>
              <w:t>$239.4</w:t>
            </w:r>
          </w:p>
        </w:tc>
      </w:tr>
    </w:tbl>
    <w:p w:rsidR="00BC2F1A" w:rsidRPr="00323D5D" w:rsidRDefault="00BC2F1A" w:rsidP="00BC2F1A">
      <w:pPr>
        <w:pStyle w:val="BodyText"/>
        <w:rPr>
          <w:sz w:val="16"/>
          <w:szCs w:val="16"/>
        </w:rPr>
      </w:pPr>
      <w:r w:rsidRPr="00323D5D">
        <w:rPr>
          <w:sz w:val="16"/>
          <w:szCs w:val="16"/>
        </w:rPr>
        <w:t>Source: Atkins, AECOM</w:t>
      </w:r>
    </w:p>
    <w:p w:rsidR="00466B45" w:rsidRPr="00323D5D" w:rsidRDefault="00466B45" w:rsidP="00466B45">
      <w:pPr>
        <w:pStyle w:val="Heading3"/>
      </w:pPr>
      <w:bookmarkStart w:id="163" w:name="_Toc448780353"/>
      <w:r w:rsidRPr="00323D5D">
        <w:t>Residual Value</w:t>
      </w:r>
      <w:bookmarkEnd w:id="163"/>
    </w:p>
    <w:p w:rsidR="00466B45" w:rsidRDefault="00466B45" w:rsidP="00466B45">
      <w:pPr>
        <w:pStyle w:val="BodyText"/>
      </w:pPr>
      <w:r w:rsidRPr="00323D5D">
        <w:t xml:space="preserve">Those components with a useful life beyond 20 years will have a residual value at the end of the assessment period.  Specifically, highway components of the </w:t>
      </w:r>
      <w:r w:rsidR="003B3E40">
        <w:t>I-25 Project</w:t>
      </w:r>
      <w:r w:rsidRPr="00323D5D">
        <w:t xml:space="preserve"> have a capital cost of $175.4 million (including $3.8 million attributable to right of way)  and a residual value of $10.3 million at a 7% discount rate and $22 million at a 3% discount rate, both excluding right of way.  </w:t>
      </w:r>
      <w:r>
        <w:t>Bridges and s</w:t>
      </w:r>
      <w:r w:rsidRPr="00323D5D">
        <w:t xml:space="preserve">tructures have a capital cost of $49.7 million (including $0.8 million attributable to right of way) and a residual value of $7.3 million at a 7% discount rate and $15.6 million at a 3% discount rate, both excluding right of way.   Bus </w:t>
      </w:r>
      <w:r w:rsidR="001E711C">
        <w:t xml:space="preserve">related infrastructure </w:t>
      </w:r>
      <w:r w:rsidRPr="00323D5D">
        <w:t>ha</w:t>
      </w:r>
      <w:r w:rsidR="001E711C">
        <w:t>s</w:t>
      </w:r>
      <w:r w:rsidRPr="00323D5D">
        <w:t xml:space="preserve"> a capital cost of $</w:t>
      </w:r>
      <w:r w:rsidR="001E711C">
        <w:t>9.3</w:t>
      </w:r>
      <w:r w:rsidRPr="00323D5D">
        <w:t xml:space="preserve"> million (including $</w:t>
      </w:r>
      <w:r w:rsidR="001E711C">
        <w:t>1.3</w:t>
      </w:r>
      <w:r w:rsidRPr="00323D5D">
        <w:t xml:space="preserve"> million attributable to right of way) and a residual value of $</w:t>
      </w:r>
      <w:r w:rsidR="00AE14B0">
        <w:t>0.4</w:t>
      </w:r>
      <w:r w:rsidRPr="00323D5D">
        <w:t xml:space="preserve"> million at a 7% discount rate and $0.</w:t>
      </w:r>
      <w:r w:rsidR="00AE14B0">
        <w:t>9</w:t>
      </w:r>
      <w:r w:rsidRPr="00323D5D">
        <w:t xml:space="preserve"> million at a 3% discount rate, both excluding right of way.   </w:t>
      </w:r>
    </w:p>
    <w:p w:rsidR="00AE14B0" w:rsidRDefault="00AE14B0" w:rsidP="00AE14B0">
      <w:pPr>
        <w:pStyle w:val="BodyText"/>
      </w:pPr>
      <w:r>
        <w:t xml:space="preserve">The total residual value of all elements of the I-25 Widening project are </w:t>
      </w:r>
      <w:r w:rsidRPr="00323D5D">
        <w:t xml:space="preserve"> $</w:t>
      </w:r>
      <w:r w:rsidR="00295021">
        <w:t>15.1</w:t>
      </w:r>
      <w:r w:rsidRPr="00323D5D">
        <w:t xml:space="preserve"> million at a 7% discount rate and $</w:t>
      </w:r>
      <w:r w:rsidR="00295021">
        <w:t>37.7</w:t>
      </w:r>
      <w:r w:rsidRPr="00323D5D">
        <w:t xml:space="preserve"> million at a 3% discount rate, both excluding right of way.   </w:t>
      </w:r>
    </w:p>
    <w:p w:rsidR="004B1E71" w:rsidRDefault="004B1E71" w:rsidP="006A21C2">
      <w:pPr>
        <w:pStyle w:val="Heading5"/>
        <w:numPr>
          <w:ilvl w:val="0"/>
          <w:numId w:val="0"/>
        </w:numPr>
        <w:rPr>
          <w:rFonts w:ascii="Times New Roman" w:hAnsi="Times New Roman"/>
          <w:b w:val="0"/>
          <w:sz w:val="22"/>
          <w:szCs w:val="22"/>
        </w:rPr>
      </w:pPr>
      <w:r w:rsidRPr="006A21C2">
        <w:rPr>
          <w:rFonts w:ascii="Times New Roman" w:hAnsi="Times New Roman"/>
          <w:b w:val="0"/>
          <w:sz w:val="22"/>
          <w:szCs w:val="22"/>
        </w:rPr>
        <w:t xml:space="preserve">An overview of the residual value of component types of the </w:t>
      </w:r>
      <w:r w:rsidR="003B3E40">
        <w:rPr>
          <w:rFonts w:ascii="Times New Roman" w:hAnsi="Times New Roman"/>
          <w:b w:val="0"/>
          <w:sz w:val="22"/>
          <w:szCs w:val="22"/>
        </w:rPr>
        <w:t>I-25 Project</w:t>
      </w:r>
      <w:r w:rsidRPr="006A21C2">
        <w:rPr>
          <w:rFonts w:ascii="Times New Roman" w:hAnsi="Times New Roman"/>
          <w:b w:val="0"/>
          <w:sz w:val="22"/>
          <w:szCs w:val="22"/>
        </w:rPr>
        <w:t xml:space="preserve"> at the conclusion of the assessment period is shown in T</w:t>
      </w:r>
      <w:r w:rsidR="00466B45" w:rsidRPr="006A21C2">
        <w:rPr>
          <w:rFonts w:ascii="Times New Roman" w:hAnsi="Times New Roman"/>
          <w:b w:val="0"/>
          <w:sz w:val="22"/>
          <w:szCs w:val="22"/>
        </w:rPr>
        <w:t>able 32</w:t>
      </w:r>
      <w:r w:rsidRPr="006A21C2">
        <w:rPr>
          <w:rFonts w:ascii="Times New Roman" w:hAnsi="Times New Roman"/>
          <w:b w:val="0"/>
          <w:sz w:val="22"/>
          <w:szCs w:val="22"/>
        </w:rPr>
        <w:t>.</w:t>
      </w:r>
    </w:p>
    <w:p w:rsidR="00160EDE" w:rsidRDefault="00160EDE" w:rsidP="00160EDE">
      <w:pPr>
        <w:pStyle w:val="BodyText"/>
      </w:pPr>
    </w:p>
    <w:p w:rsidR="00160EDE" w:rsidRDefault="00160EDE" w:rsidP="00160EDE">
      <w:pPr>
        <w:pStyle w:val="BodyText"/>
      </w:pPr>
    </w:p>
    <w:p w:rsidR="00160EDE" w:rsidRPr="00160EDE" w:rsidRDefault="00160EDE" w:rsidP="00160EDE">
      <w:pPr>
        <w:pStyle w:val="BodyText"/>
      </w:pPr>
    </w:p>
    <w:p w:rsidR="004B1E71" w:rsidRPr="00323D5D" w:rsidRDefault="004B1E71" w:rsidP="004B1E71">
      <w:pPr>
        <w:pStyle w:val="BodyText"/>
        <w:spacing w:after="0"/>
        <w:jc w:val="center"/>
        <w:rPr>
          <w:b/>
          <w:sz w:val="18"/>
          <w:szCs w:val="18"/>
        </w:rPr>
      </w:pPr>
      <w:r w:rsidRPr="00323D5D">
        <w:rPr>
          <w:b/>
          <w:sz w:val="18"/>
          <w:szCs w:val="18"/>
        </w:rPr>
        <w:lastRenderedPageBreak/>
        <w:t xml:space="preserve">Table </w:t>
      </w:r>
      <w:r w:rsidR="00466B45">
        <w:rPr>
          <w:b/>
          <w:sz w:val="18"/>
          <w:szCs w:val="18"/>
        </w:rPr>
        <w:t>32</w:t>
      </w:r>
      <w:r w:rsidR="00F60786">
        <w:rPr>
          <w:b/>
          <w:sz w:val="18"/>
          <w:szCs w:val="18"/>
        </w:rPr>
        <w:t>:</w:t>
      </w:r>
      <w:r w:rsidRPr="00323D5D">
        <w:rPr>
          <w:b/>
          <w:sz w:val="18"/>
          <w:szCs w:val="18"/>
        </w:rPr>
        <w:t xml:space="preserve"> Residual Life of </w:t>
      </w:r>
      <w:r w:rsidR="003B3E40">
        <w:rPr>
          <w:b/>
          <w:sz w:val="18"/>
          <w:szCs w:val="18"/>
        </w:rPr>
        <w:t>I-25 Project</w:t>
      </w:r>
      <w:r w:rsidRPr="00323D5D">
        <w:rPr>
          <w:b/>
          <w:sz w:val="18"/>
          <w:szCs w:val="18"/>
        </w:rPr>
        <w:t xml:space="preserve"> Components – Assessment Corridor</w:t>
      </w:r>
    </w:p>
    <w:tbl>
      <w:tblPr>
        <w:tblW w:w="5123" w:type="pct"/>
        <w:tblLayout w:type="fixed"/>
        <w:tblLook w:val="04A0" w:firstRow="1" w:lastRow="0" w:firstColumn="1" w:lastColumn="0" w:noHBand="0" w:noVBand="1"/>
      </w:tblPr>
      <w:tblGrid>
        <w:gridCol w:w="1998"/>
        <w:gridCol w:w="1079"/>
        <w:gridCol w:w="1170"/>
        <w:gridCol w:w="1709"/>
        <w:gridCol w:w="1425"/>
        <w:gridCol w:w="1256"/>
        <w:gridCol w:w="208"/>
        <w:gridCol w:w="967"/>
      </w:tblGrid>
      <w:tr w:rsidR="00C72FFF" w:rsidRPr="00323D5D" w:rsidTr="00C72FFF">
        <w:trPr>
          <w:trHeight w:val="288"/>
        </w:trPr>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E71" w:rsidRPr="00323D5D" w:rsidRDefault="004B1E71" w:rsidP="00F50E2A">
            <w:pPr>
              <w:spacing w:line="240" w:lineRule="auto"/>
              <w:rPr>
                <w:color w:val="000000"/>
                <w:szCs w:val="22"/>
              </w:rPr>
            </w:pPr>
            <w:r w:rsidRPr="00323D5D">
              <w:rPr>
                <w:color w:val="000000"/>
                <w:szCs w:val="22"/>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Capital Cost</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Useful Life</w:t>
            </w:r>
          </w:p>
        </w:tc>
        <w:tc>
          <w:tcPr>
            <w:tcW w:w="871" w:type="pct"/>
            <w:tcBorders>
              <w:top w:val="single" w:sz="4" w:space="0" w:color="auto"/>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Useful Life Remaining</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Residual Value</w:t>
            </w:r>
          </w:p>
        </w:tc>
        <w:tc>
          <w:tcPr>
            <w:tcW w:w="1238" w:type="pct"/>
            <w:gridSpan w:val="3"/>
            <w:tcBorders>
              <w:top w:val="single" w:sz="4" w:space="0" w:color="auto"/>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Discounted Residual Value</w:t>
            </w:r>
          </w:p>
          <w:p w:rsidR="004B1E71" w:rsidRPr="00323D5D" w:rsidRDefault="004B1E71" w:rsidP="00295021">
            <w:pPr>
              <w:spacing w:line="240" w:lineRule="auto"/>
              <w:jc w:val="center"/>
              <w:rPr>
                <w:color w:val="000000"/>
                <w:szCs w:val="22"/>
              </w:rPr>
            </w:pP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noWrap/>
            <w:vAlign w:val="bottom"/>
            <w:hideMark/>
          </w:tcPr>
          <w:p w:rsidR="004B1E71" w:rsidRPr="00323D5D" w:rsidRDefault="004B1E71" w:rsidP="00F50E2A">
            <w:pPr>
              <w:spacing w:line="240" w:lineRule="auto"/>
              <w:jc w:val="center"/>
              <w:rPr>
                <w:b/>
                <w:bCs/>
                <w:color w:val="000000"/>
                <w:szCs w:val="22"/>
              </w:rPr>
            </w:pPr>
            <w:r w:rsidRPr="00323D5D">
              <w:rPr>
                <w:b/>
                <w:bCs/>
                <w:color w:val="000000"/>
                <w:szCs w:val="22"/>
              </w:rPr>
              <w:t>Highway</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$2016M</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Years</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$2016M</w:t>
            </w:r>
          </w:p>
        </w:tc>
        <w:tc>
          <w:tcPr>
            <w:tcW w:w="64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 ($2016)</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 ($2016)</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Express Lanes (New – Asphalt)</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48.8</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20</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5%</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2.2</w:t>
            </w:r>
          </w:p>
        </w:tc>
        <w:tc>
          <w:tcPr>
            <w:tcW w:w="64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0.6</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1.2</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Express Lanes (New – Concrete)</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42.8</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30</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37%</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14.1</w:t>
            </w:r>
          </w:p>
        </w:tc>
        <w:tc>
          <w:tcPr>
            <w:tcW w:w="64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3.6</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7.8</w:t>
            </w:r>
          </w:p>
        </w:tc>
      </w:tr>
      <w:tr w:rsidR="00C72FFF" w:rsidRPr="00323D5D" w:rsidTr="00C72FFF">
        <w:trPr>
          <w:trHeight w:val="576"/>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GP Lanes (Existing – Concrete Pave. Reconstruction)</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71.0</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30</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37%</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23.4</w:t>
            </w:r>
          </w:p>
        </w:tc>
        <w:tc>
          <w:tcPr>
            <w:tcW w:w="64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6.1</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13.0</w:t>
            </w:r>
          </w:p>
        </w:tc>
      </w:tr>
      <w:tr w:rsidR="00C72FFF" w:rsidRPr="00323D5D" w:rsidTr="00C72FFF">
        <w:trPr>
          <w:trHeight w:val="576"/>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GP Lanes (Existing - Asphalt Pave. Rehab)</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12.9</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10</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w:t>
            </w:r>
          </w:p>
        </w:tc>
        <w:tc>
          <w:tcPr>
            <w:tcW w:w="64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0.0</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0.0</w:t>
            </w:r>
          </w:p>
        </w:tc>
      </w:tr>
      <w:tr w:rsidR="004B1E71" w:rsidRPr="00323D5D" w:rsidTr="00C72FFF">
        <w:trPr>
          <w:trHeight w:val="170"/>
        </w:trPr>
        <w:tc>
          <w:tcPr>
            <w:tcW w:w="1018" w:type="pct"/>
            <w:tcBorders>
              <w:top w:val="nil"/>
              <w:left w:val="single" w:sz="4" w:space="0" w:color="auto"/>
              <w:bottom w:val="single" w:sz="4" w:space="0" w:color="auto"/>
              <w:right w:val="single" w:sz="4" w:space="0" w:color="auto"/>
            </w:tcBorders>
            <w:shd w:val="clear" w:color="auto" w:fill="auto"/>
            <w:vAlign w:val="bottom"/>
          </w:tcPr>
          <w:p w:rsidR="004B1E71" w:rsidRPr="00323D5D" w:rsidRDefault="00AE14B0" w:rsidP="00F50E2A">
            <w:pPr>
              <w:spacing w:line="240" w:lineRule="auto"/>
              <w:jc w:val="center"/>
              <w:rPr>
                <w:b/>
                <w:color w:val="000000"/>
                <w:szCs w:val="22"/>
              </w:rPr>
            </w:pPr>
            <w:r>
              <w:rPr>
                <w:b/>
                <w:color w:val="000000"/>
                <w:szCs w:val="22"/>
              </w:rPr>
              <w:t xml:space="preserve">Bus Related Infrastructure </w:t>
            </w:r>
          </w:p>
        </w:tc>
        <w:tc>
          <w:tcPr>
            <w:tcW w:w="3982" w:type="pct"/>
            <w:gridSpan w:val="7"/>
            <w:tcBorders>
              <w:top w:val="nil"/>
              <w:left w:val="nil"/>
              <w:bottom w:val="single" w:sz="4" w:space="0" w:color="auto"/>
              <w:right w:val="single" w:sz="4" w:space="0" w:color="auto"/>
            </w:tcBorders>
            <w:shd w:val="clear" w:color="auto" w:fill="auto"/>
            <w:noWrap/>
            <w:vAlign w:val="bottom"/>
          </w:tcPr>
          <w:p w:rsidR="004B1E71" w:rsidRPr="00323D5D" w:rsidRDefault="004B1E71" w:rsidP="00295021">
            <w:pPr>
              <w:spacing w:line="240" w:lineRule="auto"/>
              <w:jc w:val="center"/>
              <w:rPr>
                <w:color w:val="000000"/>
                <w:szCs w:val="22"/>
              </w:rPr>
            </w:pP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Bus Slip Ramps (New - Concrete)</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4.2</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30</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37%</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1.4</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0.4</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0.8</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tcPr>
          <w:p w:rsidR="00AE14B0" w:rsidRPr="00323D5D" w:rsidRDefault="00AE14B0" w:rsidP="00F50E2A">
            <w:pPr>
              <w:spacing w:line="240" w:lineRule="auto"/>
              <w:rPr>
                <w:color w:val="000000"/>
                <w:szCs w:val="22"/>
              </w:rPr>
            </w:pPr>
            <w:r>
              <w:rPr>
                <w:color w:val="000000"/>
                <w:szCs w:val="22"/>
              </w:rPr>
              <w:t>Park and Ride Facility</w:t>
            </w:r>
          </w:p>
        </w:tc>
        <w:tc>
          <w:tcPr>
            <w:tcW w:w="550"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b/>
                <w:bCs/>
                <w:color w:val="000000"/>
                <w:szCs w:val="22"/>
              </w:rPr>
            </w:pPr>
            <w:r>
              <w:rPr>
                <w:b/>
                <w:bCs/>
                <w:color w:val="000000"/>
                <w:szCs w:val="22"/>
              </w:rPr>
              <w:t>5.0</w:t>
            </w:r>
          </w:p>
        </w:tc>
        <w:tc>
          <w:tcPr>
            <w:tcW w:w="596"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r>
              <w:rPr>
                <w:color w:val="000000"/>
                <w:szCs w:val="22"/>
              </w:rPr>
              <w:t>20</w:t>
            </w:r>
          </w:p>
        </w:tc>
        <w:tc>
          <w:tcPr>
            <w:tcW w:w="871"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r>
              <w:rPr>
                <w:color w:val="000000"/>
                <w:szCs w:val="22"/>
              </w:rPr>
              <w:t>5%</w:t>
            </w:r>
          </w:p>
        </w:tc>
        <w:tc>
          <w:tcPr>
            <w:tcW w:w="726"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b/>
                <w:bCs/>
                <w:color w:val="000000"/>
                <w:szCs w:val="22"/>
              </w:rPr>
            </w:pPr>
            <w:r>
              <w:rPr>
                <w:b/>
                <w:bCs/>
                <w:color w:val="000000"/>
                <w:szCs w:val="22"/>
              </w:rPr>
              <w:t>0.2</w:t>
            </w:r>
          </w:p>
        </w:tc>
        <w:tc>
          <w:tcPr>
            <w:tcW w:w="746" w:type="pct"/>
            <w:gridSpan w:val="2"/>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r>
              <w:rPr>
                <w:color w:val="000000"/>
                <w:szCs w:val="22"/>
              </w:rPr>
              <w:t>.06</w:t>
            </w:r>
          </w:p>
        </w:tc>
        <w:tc>
          <w:tcPr>
            <w:tcW w:w="492"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r>
              <w:rPr>
                <w:color w:val="000000"/>
                <w:szCs w:val="22"/>
              </w:rPr>
              <w:t>.1</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tcPr>
          <w:p w:rsidR="00AE14B0" w:rsidRPr="00323D5D" w:rsidRDefault="00AE14B0" w:rsidP="00F50E2A">
            <w:pPr>
              <w:spacing w:line="240" w:lineRule="auto"/>
              <w:rPr>
                <w:color w:val="000000"/>
                <w:szCs w:val="22"/>
              </w:rPr>
            </w:pPr>
          </w:p>
        </w:tc>
        <w:tc>
          <w:tcPr>
            <w:tcW w:w="550"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b/>
                <w:bCs/>
                <w:color w:val="000000"/>
                <w:szCs w:val="22"/>
              </w:rPr>
            </w:pPr>
          </w:p>
        </w:tc>
        <w:tc>
          <w:tcPr>
            <w:tcW w:w="596"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p>
        </w:tc>
        <w:tc>
          <w:tcPr>
            <w:tcW w:w="871"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p>
        </w:tc>
        <w:tc>
          <w:tcPr>
            <w:tcW w:w="726"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b/>
                <w:bCs/>
                <w:color w:val="000000"/>
                <w:szCs w:val="22"/>
              </w:rPr>
            </w:pPr>
          </w:p>
        </w:tc>
        <w:tc>
          <w:tcPr>
            <w:tcW w:w="746" w:type="pct"/>
            <w:gridSpan w:val="2"/>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p>
        </w:tc>
        <w:tc>
          <w:tcPr>
            <w:tcW w:w="492" w:type="pct"/>
            <w:tcBorders>
              <w:top w:val="nil"/>
              <w:left w:val="nil"/>
              <w:bottom w:val="single" w:sz="4" w:space="0" w:color="auto"/>
              <w:right w:val="single" w:sz="4" w:space="0" w:color="auto"/>
            </w:tcBorders>
            <w:shd w:val="clear" w:color="auto" w:fill="auto"/>
            <w:noWrap/>
            <w:vAlign w:val="bottom"/>
          </w:tcPr>
          <w:p w:rsidR="00AE14B0" w:rsidRPr="00323D5D" w:rsidRDefault="00AE14B0" w:rsidP="00295021">
            <w:pPr>
              <w:spacing w:line="240" w:lineRule="auto"/>
              <w:jc w:val="center"/>
              <w:rPr>
                <w:color w:val="000000"/>
                <w:szCs w:val="22"/>
              </w:rPr>
            </w:pPr>
          </w:p>
        </w:tc>
      </w:tr>
      <w:tr w:rsidR="004B1E71"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jc w:val="center"/>
              <w:rPr>
                <w:b/>
                <w:bCs/>
                <w:color w:val="000000"/>
                <w:szCs w:val="22"/>
              </w:rPr>
            </w:pPr>
            <w:r w:rsidRPr="00323D5D">
              <w:rPr>
                <w:b/>
                <w:bCs/>
                <w:color w:val="000000"/>
                <w:szCs w:val="22"/>
              </w:rPr>
              <w:t>Structures</w:t>
            </w:r>
          </w:p>
        </w:tc>
        <w:tc>
          <w:tcPr>
            <w:tcW w:w="3982" w:type="pct"/>
            <w:gridSpan w:val="7"/>
            <w:tcBorders>
              <w:top w:val="nil"/>
              <w:left w:val="nil"/>
              <w:bottom w:val="single" w:sz="4" w:space="0" w:color="auto"/>
              <w:right w:val="single" w:sz="4" w:space="0" w:color="auto"/>
            </w:tcBorders>
            <w:shd w:val="clear" w:color="auto" w:fill="auto"/>
            <w:noWrap/>
            <w:vAlign w:val="bottom"/>
          </w:tcPr>
          <w:p w:rsidR="004B1E71" w:rsidRPr="00323D5D" w:rsidRDefault="004B1E71" w:rsidP="00295021">
            <w:pPr>
              <w:spacing w:line="240" w:lineRule="auto"/>
              <w:jc w:val="center"/>
              <w:rPr>
                <w:color w:val="000000"/>
                <w:szCs w:val="22"/>
              </w:rPr>
            </w:pP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Big Thompson River Bridges (Widen)</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3.4</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25</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24%</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0.7</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0.2</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0.4</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UPRR Bridges (Full Reconstruction)</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10.6</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7.1</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1.8</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3.9</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Kendall Parkway (Additional to UPRR)</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6.3</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4.2</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1.1</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2.3</w:t>
            </w:r>
          </w:p>
        </w:tc>
      </w:tr>
      <w:tr w:rsidR="00C72FFF" w:rsidRPr="00323D5D" w:rsidTr="00C72FFF">
        <w:trPr>
          <w:trHeight w:val="576"/>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Poudre River Bridges (Full Reconstruction)</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21.3</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75%</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14.3</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3.7</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7.9</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color w:val="000000"/>
                <w:szCs w:val="22"/>
              </w:rPr>
            </w:pPr>
            <w:r w:rsidRPr="00323D5D">
              <w:rPr>
                <w:color w:val="000000"/>
                <w:szCs w:val="22"/>
              </w:rPr>
              <w:t>GWRR Bridges (Widen)</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8.1</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25</w:t>
            </w: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24%</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1.7</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0.5</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color w:val="000000"/>
                <w:szCs w:val="22"/>
              </w:rPr>
            </w:pPr>
            <w:r w:rsidRPr="00323D5D">
              <w:rPr>
                <w:color w:val="000000"/>
                <w:szCs w:val="22"/>
              </w:rPr>
              <w:t>1.0</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tcPr>
          <w:p w:rsidR="00295021" w:rsidRPr="00295021" w:rsidRDefault="00295021" w:rsidP="00295021">
            <w:pPr>
              <w:spacing w:line="240" w:lineRule="auto"/>
              <w:rPr>
                <w:b/>
                <w:color w:val="000000"/>
                <w:szCs w:val="22"/>
              </w:rPr>
            </w:pPr>
            <w:r w:rsidRPr="00295021">
              <w:rPr>
                <w:b/>
                <w:color w:val="000000"/>
                <w:szCs w:val="22"/>
              </w:rPr>
              <w:t>Bike Trail</w:t>
            </w:r>
          </w:p>
        </w:tc>
        <w:tc>
          <w:tcPr>
            <w:tcW w:w="550"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b/>
                <w:bCs/>
                <w:color w:val="000000"/>
                <w:szCs w:val="22"/>
              </w:rPr>
            </w:pPr>
          </w:p>
        </w:tc>
        <w:tc>
          <w:tcPr>
            <w:tcW w:w="596"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p>
        </w:tc>
        <w:tc>
          <w:tcPr>
            <w:tcW w:w="871"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p>
        </w:tc>
        <w:tc>
          <w:tcPr>
            <w:tcW w:w="726"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b/>
                <w:bCs/>
                <w:color w:val="000000"/>
                <w:szCs w:val="22"/>
              </w:rPr>
            </w:pPr>
          </w:p>
        </w:tc>
        <w:tc>
          <w:tcPr>
            <w:tcW w:w="746" w:type="pct"/>
            <w:gridSpan w:val="2"/>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p>
        </w:tc>
        <w:tc>
          <w:tcPr>
            <w:tcW w:w="492"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tcPr>
          <w:p w:rsidR="00295021" w:rsidRPr="00323D5D" w:rsidRDefault="00295021" w:rsidP="00F50E2A">
            <w:pPr>
              <w:spacing w:line="240" w:lineRule="auto"/>
              <w:rPr>
                <w:color w:val="000000"/>
                <w:szCs w:val="22"/>
              </w:rPr>
            </w:pPr>
            <w:r>
              <w:rPr>
                <w:color w:val="000000"/>
                <w:szCs w:val="22"/>
              </w:rPr>
              <w:t xml:space="preserve">Bike trail </w:t>
            </w:r>
          </w:p>
        </w:tc>
        <w:tc>
          <w:tcPr>
            <w:tcW w:w="550"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b/>
                <w:bCs/>
                <w:color w:val="000000"/>
                <w:szCs w:val="22"/>
              </w:rPr>
            </w:pPr>
            <w:r>
              <w:rPr>
                <w:b/>
                <w:bCs/>
                <w:color w:val="000000"/>
                <w:szCs w:val="22"/>
              </w:rPr>
              <w:t>1.3</w:t>
            </w:r>
          </w:p>
        </w:tc>
        <w:tc>
          <w:tcPr>
            <w:tcW w:w="596"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r>
              <w:rPr>
                <w:color w:val="000000"/>
                <w:szCs w:val="22"/>
              </w:rPr>
              <w:t>20</w:t>
            </w:r>
          </w:p>
        </w:tc>
        <w:tc>
          <w:tcPr>
            <w:tcW w:w="871"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r>
              <w:rPr>
                <w:color w:val="000000"/>
                <w:szCs w:val="22"/>
              </w:rPr>
              <w:t>5%</w:t>
            </w:r>
          </w:p>
        </w:tc>
        <w:tc>
          <w:tcPr>
            <w:tcW w:w="726"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b/>
                <w:bCs/>
                <w:color w:val="000000"/>
                <w:szCs w:val="22"/>
              </w:rPr>
            </w:pPr>
            <w:r>
              <w:rPr>
                <w:b/>
                <w:bCs/>
                <w:color w:val="000000"/>
                <w:szCs w:val="22"/>
              </w:rPr>
              <w:t>.06</w:t>
            </w:r>
          </w:p>
        </w:tc>
        <w:tc>
          <w:tcPr>
            <w:tcW w:w="746" w:type="pct"/>
            <w:gridSpan w:val="2"/>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r>
              <w:rPr>
                <w:color w:val="000000"/>
                <w:szCs w:val="22"/>
              </w:rPr>
              <w:t>.01</w:t>
            </w:r>
          </w:p>
        </w:tc>
        <w:tc>
          <w:tcPr>
            <w:tcW w:w="492" w:type="pct"/>
            <w:tcBorders>
              <w:top w:val="nil"/>
              <w:left w:val="nil"/>
              <w:bottom w:val="single" w:sz="4" w:space="0" w:color="auto"/>
              <w:right w:val="single" w:sz="4" w:space="0" w:color="auto"/>
            </w:tcBorders>
            <w:shd w:val="clear" w:color="auto" w:fill="auto"/>
            <w:noWrap/>
            <w:vAlign w:val="bottom"/>
          </w:tcPr>
          <w:p w:rsidR="00295021" w:rsidRPr="00323D5D" w:rsidRDefault="00295021" w:rsidP="00295021">
            <w:pPr>
              <w:spacing w:line="240" w:lineRule="auto"/>
              <w:jc w:val="center"/>
              <w:rPr>
                <w:color w:val="000000"/>
                <w:szCs w:val="22"/>
              </w:rPr>
            </w:pPr>
            <w:r>
              <w:rPr>
                <w:color w:val="000000"/>
                <w:szCs w:val="22"/>
              </w:rPr>
              <w:t>.03</w:t>
            </w:r>
          </w:p>
        </w:tc>
      </w:tr>
      <w:tr w:rsidR="00C72FFF" w:rsidRPr="00323D5D" w:rsidTr="00C72FFF">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4B1E71" w:rsidRPr="00323D5D" w:rsidRDefault="004B1E71" w:rsidP="00F50E2A">
            <w:pPr>
              <w:spacing w:line="240" w:lineRule="auto"/>
              <w:rPr>
                <w:b/>
                <w:bCs/>
                <w:color w:val="000000"/>
                <w:szCs w:val="22"/>
              </w:rPr>
            </w:pPr>
            <w:r w:rsidRPr="00323D5D">
              <w:rPr>
                <w:b/>
                <w:bCs/>
                <w:color w:val="000000"/>
                <w:szCs w:val="22"/>
              </w:rPr>
              <w:t xml:space="preserve">Total Cost </w:t>
            </w:r>
          </w:p>
        </w:tc>
        <w:tc>
          <w:tcPr>
            <w:tcW w:w="550" w:type="pct"/>
            <w:tcBorders>
              <w:top w:val="nil"/>
              <w:left w:val="nil"/>
              <w:bottom w:val="single" w:sz="4" w:space="0" w:color="auto"/>
              <w:right w:val="single" w:sz="4" w:space="0" w:color="auto"/>
            </w:tcBorders>
            <w:shd w:val="clear" w:color="auto" w:fill="auto"/>
            <w:noWrap/>
            <w:vAlign w:val="bottom"/>
            <w:hideMark/>
          </w:tcPr>
          <w:p w:rsidR="004B1E71" w:rsidRPr="00323D5D" w:rsidRDefault="00295021" w:rsidP="00295021">
            <w:pPr>
              <w:spacing w:line="240" w:lineRule="auto"/>
              <w:jc w:val="center"/>
              <w:rPr>
                <w:b/>
                <w:bCs/>
                <w:color w:val="000000"/>
                <w:szCs w:val="22"/>
              </w:rPr>
            </w:pPr>
            <w:r>
              <w:rPr>
                <w:b/>
                <w:bCs/>
                <w:color w:val="000000"/>
                <w:szCs w:val="22"/>
              </w:rPr>
              <w:t>235.7</w:t>
            </w:r>
          </w:p>
        </w:tc>
        <w:tc>
          <w:tcPr>
            <w:tcW w:w="59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p>
        </w:tc>
        <w:tc>
          <w:tcPr>
            <w:tcW w:w="871"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Total Residual Value*</w:t>
            </w:r>
          </w:p>
        </w:tc>
        <w:tc>
          <w:tcPr>
            <w:tcW w:w="726"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w:t>
            </w:r>
            <w:r w:rsidR="00295021">
              <w:rPr>
                <w:b/>
                <w:bCs/>
                <w:color w:val="000000"/>
                <w:szCs w:val="22"/>
              </w:rPr>
              <w:t>70.8</w:t>
            </w:r>
          </w:p>
        </w:tc>
        <w:tc>
          <w:tcPr>
            <w:tcW w:w="746" w:type="pct"/>
            <w:gridSpan w:val="2"/>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w:t>
            </w:r>
            <w:r w:rsidR="00AE14B0">
              <w:rPr>
                <w:b/>
                <w:bCs/>
                <w:color w:val="000000"/>
                <w:szCs w:val="22"/>
              </w:rPr>
              <w:t>18.</w:t>
            </w:r>
            <w:r w:rsidR="00295021">
              <w:rPr>
                <w:b/>
                <w:bCs/>
                <w:color w:val="000000"/>
                <w:szCs w:val="22"/>
              </w:rPr>
              <w:t>3</w:t>
            </w:r>
          </w:p>
        </w:tc>
        <w:tc>
          <w:tcPr>
            <w:tcW w:w="492" w:type="pct"/>
            <w:tcBorders>
              <w:top w:val="nil"/>
              <w:left w:val="nil"/>
              <w:bottom w:val="single" w:sz="4" w:space="0" w:color="auto"/>
              <w:right w:val="single" w:sz="4" w:space="0" w:color="auto"/>
            </w:tcBorders>
            <w:shd w:val="clear" w:color="auto" w:fill="auto"/>
            <w:noWrap/>
            <w:vAlign w:val="bottom"/>
            <w:hideMark/>
          </w:tcPr>
          <w:p w:rsidR="004B1E71" w:rsidRPr="00323D5D" w:rsidRDefault="004B1E71" w:rsidP="00295021">
            <w:pPr>
              <w:spacing w:line="240" w:lineRule="auto"/>
              <w:jc w:val="center"/>
              <w:rPr>
                <w:b/>
                <w:bCs/>
                <w:color w:val="000000"/>
                <w:szCs w:val="22"/>
              </w:rPr>
            </w:pPr>
            <w:r w:rsidRPr="00323D5D">
              <w:rPr>
                <w:b/>
                <w:bCs/>
                <w:color w:val="000000"/>
                <w:szCs w:val="22"/>
              </w:rPr>
              <w:t>$</w:t>
            </w:r>
            <w:r w:rsidR="00295021">
              <w:rPr>
                <w:b/>
                <w:bCs/>
                <w:color w:val="000000"/>
                <w:szCs w:val="22"/>
              </w:rPr>
              <w:t>39.2</w:t>
            </w:r>
          </w:p>
        </w:tc>
      </w:tr>
    </w:tbl>
    <w:p w:rsidR="004B1E71" w:rsidRPr="00323D5D" w:rsidRDefault="004B1E71" w:rsidP="00160EDE">
      <w:pPr>
        <w:pStyle w:val="BodyText"/>
        <w:spacing w:after="0"/>
        <w:ind w:left="-540"/>
        <w:jc w:val="left"/>
        <w:rPr>
          <w:sz w:val="18"/>
          <w:szCs w:val="18"/>
        </w:rPr>
      </w:pPr>
      <w:r w:rsidRPr="00323D5D">
        <w:rPr>
          <w:sz w:val="18"/>
          <w:szCs w:val="18"/>
        </w:rPr>
        <w:t xml:space="preserve">*Excludes Right of Way </w:t>
      </w:r>
    </w:p>
    <w:p w:rsidR="004B1E71" w:rsidRDefault="004B1E71" w:rsidP="00160EDE">
      <w:pPr>
        <w:pStyle w:val="BodyText"/>
        <w:spacing w:after="0"/>
        <w:ind w:left="-540"/>
        <w:jc w:val="left"/>
        <w:rPr>
          <w:sz w:val="18"/>
          <w:szCs w:val="18"/>
        </w:rPr>
      </w:pPr>
      <w:r w:rsidRPr="00323D5D">
        <w:rPr>
          <w:sz w:val="18"/>
          <w:szCs w:val="18"/>
        </w:rPr>
        <w:t>Source: Atkins, AECOM</w:t>
      </w:r>
    </w:p>
    <w:p w:rsidR="0089096B" w:rsidRDefault="0089096B" w:rsidP="004B1E71">
      <w:pPr>
        <w:pStyle w:val="BodyText"/>
        <w:spacing w:after="0"/>
        <w:rPr>
          <w:sz w:val="18"/>
          <w:szCs w:val="18"/>
        </w:rPr>
      </w:pPr>
    </w:p>
    <w:p w:rsidR="0089096B" w:rsidRDefault="0089096B" w:rsidP="004B1E71">
      <w:pPr>
        <w:pStyle w:val="BodyText"/>
        <w:spacing w:after="0"/>
        <w:rPr>
          <w:sz w:val="18"/>
          <w:szCs w:val="18"/>
        </w:rPr>
      </w:pPr>
    </w:p>
    <w:p w:rsidR="0089096B" w:rsidRDefault="0089096B" w:rsidP="004B1E71">
      <w:pPr>
        <w:pStyle w:val="BodyText"/>
        <w:spacing w:after="0"/>
        <w:rPr>
          <w:sz w:val="18"/>
          <w:szCs w:val="18"/>
        </w:rPr>
      </w:pPr>
    </w:p>
    <w:p w:rsidR="0089096B" w:rsidRDefault="0089096B" w:rsidP="004B1E71">
      <w:pPr>
        <w:pStyle w:val="BodyText"/>
        <w:spacing w:after="0"/>
        <w:rPr>
          <w:sz w:val="18"/>
          <w:szCs w:val="18"/>
        </w:rPr>
      </w:pPr>
    </w:p>
    <w:p w:rsidR="0089096B" w:rsidRDefault="0089096B" w:rsidP="004B1E71">
      <w:pPr>
        <w:pStyle w:val="BodyText"/>
        <w:spacing w:after="0"/>
        <w:rPr>
          <w:sz w:val="18"/>
          <w:szCs w:val="18"/>
        </w:rPr>
      </w:pPr>
    </w:p>
    <w:p w:rsidR="0089096B" w:rsidRDefault="0089096B" w:rsidP="004B1E71">
      <w:pPr>
        <w:pStyle w:val="BodyText"/>
        <w:spacing w:after="0"/>
        <w:rPr>
          <w:sz w:val="18"/>
          <w:szCs w:val="18"/>
        </w:rPr>
      </w:pPr>
    </w:p>
    <w:p w:rsidR="00160EDE" w:rsidRDefault="00160EDE" w:rsidP="004B1E71">
      <w:pPr>
        <w:pStyle w:val="BodyText"/>
        <w:spacing w:after="0"/>
        <w:rPr>
          <w:sz w:val="18"/>
          <w:szCs w:val="18"/>
        </w:rPr>
      </w:pPr>
    </w:p>
    <w:p w:rsidR="00160EDE" w:rsidRDefault="00160EDE" w:rsidP="004B1E71">
      <w:pPr>
        <w:pStyle w:val="BodyText"/>
        <w:spacing w:after="0"/>
        <w:rPr>
          <w:sz w:val="18"/>
          <w:szCs w:val="18"/>
        </w:rPr>
      </w:pPr>
    </w:p>
    <w:p w:rsidR="00B51C00" w:rsidRPr="00323D5D" w:rsidRDefault="00E50829" w:rsidP="00E50829">
      <w:pPr>
        <w:pStyle w:val="Heading1"/>
        <w:rPr>
          <w:rFonts w:ascii="Times New Roman" w:hAnsi="Times New Roman" w:cs="Times New Roman"/>
        </w:rPr>
      </w:pPr>
      <w:bookmarkStart w:id="164" w:name="_Toc448162972"/>
      <w:bookmarkStart w:id="165" w:name="_Toc448163292"/>
      <w:bookmarkStart w:id="166" w:name="_Toc448163612"/>
      <w:bookmarkStart w:id="167" w:name="_Toc448780354"/>
      <w:bookmarkEnd w:id="164"/>
      <w:bookmarkEnd w:id="165"/>
      <w:bookmarkEnd w:id="166"/>
      <w:r w:rsidRPr="00323D5D">
        <w:rPr>
          <w:rFonts w:ascii="Times New Roman" w:hAnsi="Times New Roman" w:cs="Times New Roman"/>
        </w:rPr>
        <w:lastRenderedPageBreak/>
        <w:t>Benefits Cost Analysis Results</w:t>
      </w:r>
      <w:bookmarkEnd w:id="167"/>
    </w:p>
    <w:p w:rsidR="00F60786" w:rsidRPr="00323D5D" w:rsidRDefault="00F60786" w:rsidP="00F60786">
      <w:pPr>
        <w:pStyle w:val="BodyText"/>
      </w:pPr>
      <w:r w:rsidRPr="00323D5D">
        <w:t xml:space="preserve">Over the 20 year assessment period, the </w:t>
      </w:r>
      <w:r w:rsidR="003B3E40">
        <w:t>I-25 Project</w:t>
      </w:r>
      <w:r w:rsidRPr="00323D5D">
        <w:t xml:space="preserve"> generates $</w:t>
      </w:r>
      <w:r w:rsidR="00295021">
        <w:t>254.3</w:t>
      </w:r>
      <w:r w:rsidRPr="00323D5D">
        <w:t xml:space="preserve"> million in benefits at a 7% discount rate, and $</w:t>
      </w:r>
      <w:r w:rsidR="00295021">
        <w:t>438.7</w:t>
      </w:r>
      <w:r w:rsidRPr="00323D5D">
        <w:t xml:space="preserve"> million in benefits at a discounted rate of 3%.   </w:t>
      </w:r>
    </w:p>
    <w:p w:rsidR="00F60786" w:rsidRDefault="00F60786" w:rsidP="006A21C2">
      <w:pPr>
        <w:pStyle w:val="BodyText"/>
      </w:pPr>
      <w:r w:rsidRPr="00323D5D">
        <w:t xml:space="preserve">At a 7% discount rate, the </w:t>
      </w:r>
      <w:r w:rsidR="003B3E40">
        <w:t>I-25 Project</w:t>
      </w:r>
      <w:r w:rsidRPr="00323D5D">
        <w:t xml:space="preserve"> has </w:t>
      </w:r>
      <w:r w:rsidRPr="00255DEE">
        <w:rPr>
          <w:b/>
        </w:rPr>
        <w:t>a BCR of 1.23:1;</w:t>
      </w:r>
      <w:r w:rsidRPr="00323D5D">
        <w:t xml:space="preserve"> at a 3% discount rate, the Project has a BCR of 1.8</w:t>
      </w:r>
      <w:r>
        <w:t>3</w:t>
      </w:r>
      <w:r w:rsidRPr="00323D5D">
        <w:t>:1.</w:t>
      </w:r>
    </w:p>
    <w:p w:rsidR="00435E8D" w:rsidRPr="00323D5D" w:rsidRDefault="0047264F" w:rsidP="00FB2C69">
      <w:pPr>
        <w:pStyle w:val="BodyText"/>
      </w:pPr>
      <w:r w:rsidRPr="00323D5D">
        <w:t xml:space="preserve">A more granular </w:t>
      </w:r>
      <w:r w:rsidR="00435E8D" w:rsidRPr="00323D5D">
        <w:t>overview of the project benefit</w:t>
      </w:r>
      <w:r w:rsidRPr="00323D5D">
        <w:t xml:space="preserve"> generated</w:t>
      </w:r>
      <w:r w:rsidR="00435E8D" w:rsidRPr="00323D5D">
        <w:t xml:space="preserve"> under both discount rate assumptions is shown in Table </w:t>
      </w:r>
      <w:r w:rsidR="00F60786">
        <w:t>33</w:t>
      </w:r>
      <w:r w:rsidRPr="00323D5D">
        <w:t>, as broken into benefits generated by manag</w:t>
      </w:r>
      <w:r w:rsidR="00B63C70">
        <w:t xml:space="preserve">ed and general lanes, by transit, </w:t>
      </w:r>
      <w:r w:rsidRPr="00323D5D">
        <w:t>by freight</w:t>
      </w:r>
      <w:r w:rsidR="00B63C70">
        <w:t xml:space="preserve"> and by mode shift to bicycle</w:t>
      </w:r>
      <w:r w:rsidR="00435E8D" w:rsidRPr="00323D5D">
        <w:t xml:space="preserve">. </w:t>
      </w:r>
    </w:p>
    <w:p w:rsidR="00435E8D" w:rsidRPr="00323D5D" w:rsidRDefault="00435E8D" w:rsidP="00435E8D">
      <w:pPr>
        <w:pStyle w:val="BodyText"/>
        <w:spacing w:after="0"/>
        <w:jc w:val="center"/>
        <w:rPr>
          <w:b/>
          <w:sz w:val="18"/>
          <w:szCs w:val="18"/>
        </w:rPr>
      </w:pPr>
      <w:r w:rsidRPr="00323D5D">
        <w:rPr>
          <w:b/>
          <w:sz w:val="18"/>
          <w:szCs w:val="18"/>
        </w:rPr>
        <w:t xml:space="preserve">Table </w:t>
      </w:r>
      <w:r w:rsidR="00F60786">
        <w:rPr>
          <w:b/>
          <w:sz w:val="18"/>
          <w:szCs w:val="18"/>
        </w:rPr>
        <w:t>33</w:t>
      </w:r>
      <w:r w:rsidRPr="00323D5D">
        <w:rPr>
          <w:b/>
          <w:sz w:val="18"/>
          <w:szCs w:val="18"/>
        </w:rPr>
        <w:t xml:space="preserve">: </w:t>
      </w:r>
      <w:r w:rsidR="00962481">
        <w:rPr>
          <w:b/>
          <w:sz w:val="18"/>
          <w:szCs w:val="18"/>
        </w:rPr>
        <w:t>I-25 Project</w:t>
      </w:r>
      <w:r w:rsidRPr="00323D5D">
        <w:rPr>
          <w:b/>
          <w:sz w:val="18"/>
          <w:szCs w:val="18"/>
        </w:rPr>
        <w:t xml:space="preserve"> </w:t>
      </w:r>
      <w:r w:rsidR="00AD4536" w:rsidRPr="00323D5D">
        <w:rPr>
          <w:b/>
          <w:sz w:val="18"/>
          <w:szCs w:val="18"/>
        </w:rPr>
        <w:t xml:space="preserve">Benefits by </w:t>
      </w:r>
      <w:r w:rsidR="00F14A70">
        <w:rPr>
          <w:b/>
          <w:sz w:val="18"/>
          <w:szCs w:val="18"/>
        </w:rPr>
        <w:t xml:space="preserve">Mode </w:t>
      </w:r>
      <w:r w:rsidR="00AD4536" w:rsidRPr="00323D5D">
        <w:rPr>
          <w:b/>
          <w:sz w:val="18"/>
          <w:szCs w:val="18"/>
        </w:rPr>
        <w:t>Type</w:t>
      </w:r>
      <w:r w:rsidR="00F14A70">
        <w:rPr>
          <w:b/>
          <w:sz w:val="18"/>
          <w:szCs w:val="18"/>
        </w:rPr>
        <w:t xml:space="preserve"> </w:t>
      </w:r>
      <w:r w:rsidRPr="00323D5D">
        <w:rPr>
          <w:b/>
          <w:sz w:val="18"/>
          <w:szCs w:val="18"/>
        </w:rPr>
        <w:t>- Discounted</w:t>
      </w:r>
    </w:p>
    <w:tbl>
      <w:tblPr>
        <w:tblW w:w="8720" w:type="dxa"/>
        <w:tblInd w:w="93" w:type="dxa"/>
        <w:tblLook w:val="04A0" w:firstRow="1" w:lastRow="0" w:firstColumn="1" w:lastColumn="0" w:noHBand="0" w:noVBand="1"/>
      </w:tblPr>
      <w:tblGrid>
        <w:gridCol w:w="4616"/>
        <w:gridCol w:w="2052"/>
        <w:gridCol w:w="2052"/>
      </w:tblGrid>
      <w:tr w:rsidR="00295021" w:rsidRPr="00295021" w:rsidTr="00295021">
        <w:trPr>
          <w:trHeight w:val="288"/>
        </w:trPr>
        <w:tc>
          <w:tcPr>
            <w:tcW w:w="87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295021" w:rsidRPr="00295021" w:rsidRDefault="00295021" w:rsidP="00295021">
            <w:pPr>
              <w:spacing w:line="240" w:lineRule="auto"/>
              <w:jc w:val="center"/>
              <w:rPr>
                <w:b/>
                <w:color w:val="000000"/>
                <w:szCs w:val="22"/>
              </w:rPr>
            </w:pPr>
            <w:r w:rsidRPr="00295021">
              <w:rPr>
                <w:b/>
                <w:color w:val="000000"/>
                <w:szCs w:val="22"/>
              </w:rPr>
              <w:t xml:space="preserve">Managed and General Purpose Lanes </w:t>
            </w:r>
          </w:p>
        </w:tc>
      </w:tr>
      <w:tr w:rsidR="002865F6" w:rsidRPr="00295021" w:rsidTr="002865F6">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tcPr>
          <w:p w:rsidR="002865F6" w:rsidRPr="00295021" w:rsidRDefault="002865F6" w:rsidP="00295021">
            <w:pPr>
              <w:spacing w:line="240" w:lineRule="auto"/>
              <w:rPr>
                <w:color w:val="000000"/>
                <w:szCs w:val="22"/>
              </w:rPr>
            </w:pP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7% Discount ($2016)</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3% Discount ($2016)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rPr>
                <w:color w:val="000000"/>
                <w:szCs w:val="22"/>
              </w:rPr>
            </w:pPr>
            <w:r w:rsidRPr="00295021">
              <w:rPr>
                <w:color w:val="000000"/>
                <w:szCs w:val="22"/>
              </w:rPr>
              <w:t xml:space="preserve"> Travel Time Savings </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sidRPr="00295021">
              <w:rPr>
                <w:color w:val="000000"/>
                <w:szCs w:val="22"/>
              </w:rPr>
              <w:t>$                    124.9</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sidRPr="00295021">
              <w:rPr>
                <w:color w:val="000000"/>
                <w:szCs w:val="22"/>
              </w:rPr>
              <w:t>$                    211.6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Idling Emissions Reductions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0.4</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Idling CO2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1.1</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1.1</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Mode Shift Emissions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4.3</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6.9</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Mode Shift CO2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4.1</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4.1</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Mode Shift Vehicle Operating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28.0</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47.7</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Mode Shift Safety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28.7</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49.6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Maintenance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0.5</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0.4</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Residual Value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15.1</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37.7</w:t>
            </w:r>
          </w:p>
        </w:tc>
      </w:tr>
      <w:tr w:rsidR="002865F6" w:rsidRPr="00295021" w:rsidTr="00295021">
        <w:trPr>
          <w:trHeight w:val="288"/>
        </w:trPr>
        <w:tc>
          <w:tcPr>
            <w:tcW w:w="872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865F6" w:rsidRPr="00295021" w:rsidRDefault="002865F6" w:rsidP="00295021">
            <w:pPr>
              <w:spacing w:line="240" w:lineRule="auto"/>
              <w:jc w:val="center"/>
              <w:rPr>
                <w:b/>
                <w:color w:val="000000"/>
                <w:szCs w:val="22"/>
              </w:rPr>
            </w:pPr>
            <w:r w:rsidRPr="00295021">
              <w:rPr>
                <w:b/>
                <w:color w:val="000000"/>
                <w:szCs w:val="22"/>
              </w:rPr>
              <w:t xml:space="preserve"> Transit Benefits </w:t>
            </w:r>
          </w:p>
        </w:tc>
      </w:tr>
      <w:tr w:rsidR="002865F6" w:rsidRPr="00295021" w:rsidTr="002865F6">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tcPr>
          <w:p w:rsidR="002865F6" w:rsidRPr="00295021" w:rsidRDefault="002865F6" w:rsidP="00295021">
            <w:pPr>
              <w:spacing w:line="240" w:lineRule="auto"/>
              <w:rPr>
                <w:color w:val="000000"/>
                <w:szCs w:val="22"/>
              </w:rPr>
            </w:pP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7% Discount ($2016)</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3% Discount ($2016)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tcPr>
          <w:p w:rsidR="002865F6" w:rsidRPr="00295021" w:rsidRDefault="002865F6" w:rsidP="00FC1390">
            <w:pPr>
              <w:spacing w:line="240" w:lineRule="auto"/>
              <w:rPr>
                <w:color w:val="000000"/>
                <w:szCs w:val="22"/>
              </w:rPr>
            </w:pPr>
            <w:r w:rsidRPr="00295021">
              <w:rPr>
                <w:color w:val="000000"/>
                <w:szCs w:val="22"/>
              </w:rPr>
              <w:t xml:space="preserve"> Bus Travel Time Savings  </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sidRPr="00295021">
              <w:rPr>
                <w:color w:val="000000"/>
                <w:szCs w:val="22"/>
              </w:rPr>
              <w:t>$                         5.5</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sidRPr="00295021">
              <w:rPr>
                <w:color w:val="000000"/>
                <w:szCs w:val="22"/>
              </w:rPr>
              <w:t>$                         9.4</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Bus Operating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0.9</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1.5</w:t>
            </w:r>
          </w:p>
        </w:tc>
      </w:tr>
      <w:tr w:rsidR="002865F6" w:rsidRPr="00295021" w:rsidTr="00295021">
        <w:trPr>
          <w:trHeight w:val="288"/>
        </w:trPr>
        <w:tc>
          <w:tcPr>
            <w:tcW w:w="872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865F6" w:rsidRPr="00295021" w:rsidRDefault="002865F6" w:rsidP="00295021">
            <w:pPr>
              <w:spacing w:line="240" w:lineRule="auto"/>
              <w:jc w:val="center"/>
              <w:rPr>
                <w:b/>
                <w:color w:val="000000"/>
                <w:szCs w:val="22"/>
              </w:rPr>
            </w:pPr>
            <w:r w:rsidRPr="00295021">
              <w:rPr>
                <w:b/>
                <w:color w:val="000000"/>
                <w:szCs w:val="22"/>
              </w:rPr>
              <w:t xml:space="preserve"> Freight Benefits </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tcPr>
          <w:p w:rsidR="002865F6" w:rsidRPr="00295021" w:rsidRDefault="002865F6" w:rsidP="00295021">
            <w:pPr>
              <w:spacing w:line="240" w:lineRule="auto"/>
              <w:rPr>
                <w:color w:val="000000"/>
                <w:szCs w:val="22"/>
              </w:rPr>
            </w:pP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7% Discount ($2016)</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3% Discount ($2016)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Inventory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0.0</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0.1</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Freight Operating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37.2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61.3</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Freight Idling Emissions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0.5</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0.9</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Freight Idling CO2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r>
      <w:tr w:rsidR="002865F6" w:rsidRPr="00295021" w:rsidTr="00295021">
        <w:trPr>
          <w:trHeight w:val="288"/>
        </w:trPr>
        <w:tc>
          <w:tcPr>
            <w:tcW w:w="872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865F6" w:rsidRPr="00295021" w:rsidRDefault="002865F6" w:rsidP="00295021">
            <w:pPr>
              <w:spacing w:line="240" w:lineRule="auto"/>
              <w:jc w:val="center"/>
              <w:rPr>
                <w:b/>
                <w:color w:val="000000"/>
                <w:szCs w:val="22"/>
              </w:rPr>
            </w:pPr>
            <w:r w:rsidRPr="00295021">
              <w:rPr>
                <w:color w:val="000000"/>
                <w:szCs w:val="22"/>
              </w:rPr>
              <w:t xml:space="preserve"> </w:t>
            </w:r>
            <w:r w:rsidRPr="00295021">
              <w:rPr>
                <w:b/>
                <w:color w:val="000000"/>
                <w:szCs w:val="22"/>
              </w:rPr>
              <w:t xml:space="preserve">Bike Path Benefits </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tcPr>
          <w:p w:rsidR="002865F6" w:rsidRPr="00295021" w:rsidRDefault="002865F6" w:rsidP="00295021">
            <w:pPr>
              <w:spacing w:line="240" w:lineRule="auto"/>
              <w:rPr>
                <w:color w:val="000000"/>
                <w:szCs w:val="22"/>
              </w:rPr>
            </w:pP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C3525E">
            <w:pPr>
              <w:spacing w:line="240" w:lineRule="auto"/>
              <w:jc w:val="center"/>
              <w:rPr>
                <w:color w:val="000000"/>
                <w:szCs w:val="22"/>
              </w:rPr>
            </w:pPr>
            <w:r>
              <w:rPr>
                <w:color w:val="000000"/>
                <w:szCs w:val="22"/>
              </w:rPr>
              <w:t>7% Discount ($2016)</w:t>
            </w:r>
          </w:p>
        </w:tc>
        <w:tc>
          <w:tcPr>
            <w:tcW w:w="2052" w:type="dxa"/>
            <w:tcBorders>
              <w:top w:val="nil"/>
              <w:left w:val="nil"/>
              <w:bottom w:val="single" w:sz="4" w:space="0" w:color="auto"/>
              <w:right w:val="single" w:sz="4" w:space="0" w:color="auto"/>
            </w:tcBorders>
            <w:shd w:val="clear" w:color="000000" w:fill="FFFFFF"/>
            <w:noWrap/>
            <w:vAlign w:val="bottom"/>
          </w:tcPr>
          <w:p w:rsidR="002865F6" w:rsidRPr="00295021" w:rsidRDefault="002865F6" w:rsidP="00C3525E">
            <w:pPr>
              <w:spacing w:line="240" w:lineRule="auto"/>
              <w:jc w:val="center"/>
              <w:rPr>
                <w:color w:val="000000"/>
                <w:szCs w:val="22"/>
              </w:rPr>
            </w:pPr>
            <w:r>
              <w:rPr>
                <w:color w:val="000000"/>
                <w:szCs w:val="22"/>
              </w:rPr>
              <w:t>3% Discount ($2016)</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Bike Mode Shift Emissions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0.3</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Bike Mode Shift CO2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0.2</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Bike Mode Shift Vehicle Operating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1.2</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2.1</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auto" w:fill="auto"/>
            <w:noWrap/>
            <w:vAlign w:val="bottom"/>
            <w:hideMark/>
          </w:tcPr>
          <w:p w:rsidR="002865F6" w:rsidRPr="00295021" w:rsidRDefault="002865F6" w:rsidP="00295021">
            <w:pPr>
              <w:spacing w:line="240" w:lineRule="auto"/>
              <w:rPr>
                <w:color w:val="000000"/>
                <w:szCs w:val="22"/>
              </w:rPr>
            </w:pPr>
            <w:r w:rsidRPr="00295021">
              <w:rPr>
                <w:color w:val="000000"/>
                <w:szCs w:val="22"/>
              </w:rPr>
              <w:t xml:space="preserve"> Bike Mode Shift Safety Savings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1.3</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C3525E">
            <w:pPr>
              <w:spacing w:line="240" w:lineRule="auto"/>
              <w:jc w:val="center"/>
              <w:rPr>
                <w:color w:val="000000"/>
                <w:szCs w:val="22"/>
              </w:rPr>
            </w:pPr>
            <w:r w:rsidRPr="00295021">
              <w:rPr>
                <w:color w:val="000000"/>
                <w:szCs w:val="22"/>
              </w:rPr>
              <w:t>$                         2.2</w:t>
            </w:r>
          </w:p>
        </w:tc>
      </w:tr>
      <w:tr w:rsidR="002865F6" w:rsidRPr="00295021" w:rsidTr="00295021">
        <w:trPr>
          <w:trHeight w:val="288"/>
        </w:trPr>
        <w:tc>
          <w:tcPr>
            <w:tcW w:w="4616" w:type="dxa"/>
            <w:tcBorders>
              <w:top w:val="nil"/>
              <w:left w:val="single" w:sz="4" w:space="0" w:color="auto"/>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b/>
                <w:bCs/>
                <w:i/>
                <w:iCs/>
                <w:color w:val="000000"/>
                <w:szCs w:val="22"/>
              </w:rPr>
            </w:pPr>
            <w:r w:rsidRPr="00295021">
              <w:rPr>
                <w:b/>
                <w:bCs/>
                <w:i/>
                <w:iCs/>
                <w:color w:val="000000"/>
                <w:szCs w:val="22"/>
              </w:rPr>
              <w:t xml:space="preserve"> Total Benefits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b/>
                <w:bCs/>
                <w:i/>
                <w:iCs/>
                <w:color w:val="000000"/>
                <w:szCs w:val="22"/>
              </w:rPr>
            </w:pPr>
            <w:r w:rsidRPr="00295021">
              <w:rPr>
                <w:b/>
                <w:bCs/>
                <w:i/>
                <w:iCs/>
                <w:color w:val="000000"/>
                <w:szCs w:val="22"/>
              </w:rPr>
              <w:t xml:space="preserve"> $                   254.2 </w:t>
            </w:r>
          </w:p>
        </w:tc>
        <w:tc>
          <w:tcPr>
            <w:tcW w:w="2052" w:type="dxa"/>
            <w:tcBorders>
              <w:top w:val="nil"/>
              <w:left w:val="nil"/>
              <w:bottom w:val="single" w:sz="4" w:space="0" w:color="auto"/>
              <w:right w:val="single" w:sz="4" w:space="0" w:color="auto"/>
            </w:tcBorders>
            <w:shd w:val="clear" w:color="000000" w:fill="FFFFFF"/>
            <w:noWrap/>
            <w:vAlign w:val="bottom"/>
            <w:hideMark/>
          </w:tcPr>
          <w:p w:rsidR="002865F6" w:rsidRPr="00295021" w:rsidRDefault="002865F6" w:rsidP="00295021">
            <w:pPr>
              <w:spacing w:line="240" w:lineRule="auto"/>
              <w:rPr>
                <w:b/>
                <w:bCs/>
                <w:i/>
                <w:iCs/>
                <w:color w:val="000000"/>
                <w:szCs w:val="22"/>
              </w:rPr>
            </w:pPr>
            <w:r w:rsidRPr="00295021">
              <w:rPr>
                <w:b/>
                <w:bCs/>
                <w:i/>
                <w:iCs/>
                <w:color w:val="000000"/>
                <w:szCs w:val="22"/>
              </w:rPr>
              <w:t xml:space="preserve"> $                   437.7 </w:t>
            </w:r>
          </w:p>
        </w:tc>
      </w:tr>
    </w:tbl>
    <w:p w:rsidR="00BC2F1A" w:rsidRPr="006A21C2" w:rsidRDefault="00435E8D" w:rsidP="00FB2C69">
      <w:pPr>
        <w:pStyle w:val="BodyText"/>
        <w:rPr>
          <w:sz w:val="18"/>
          <w:szCs w:val="18"/>
        </w:rPr>
      </w:pPr>
      <w:r w:rsidRPr="006A21C2">
        <w:rPr>
          <w:sz w:val="18"/>
          <w:szCs w:val="18"/>
        </w:rPr>
        <w:t>Source: AECOM</w:t>
      </w:r>
    </w:p>
    <w:p w:rsidR="007F1C36" w:rsidRPr="00323D5D" w:rsidRDefault="0047264F" w:rsidP="00FB2C69">
      <w:pPr>
        <w:pStyle w:val="BodyText"/>
      </w:pPr>
      <w:r w:rsidRPr="00323D5D">
        <w:lastRenderedPageBreak/>
        <w:t xml:space="preserve">The largest components of the benefits generated by </w:t>
      </w:r>
      <w:r w:rsidR="007F1C36" w:rsidRPr="00323D5D">
        <w:t xml:space="preserve">the </w:t>
      </w:r>
      <w:r w:rsidR="003B3E40">
        <w:t>I-25 Project</w:t>
      </w:r>
      <w:r w:rsidR="007F1C36" w:rsidRPr="00323D5D">
        <w:t xml:space="preserve"> are concentrated in travel time savings and </w:t>
      </w:r>
      <w:r w:rsidR="001F3FA8" w:rsidRPr="00323D5D">
        <w:t>in</w:t>
      </w:r>
      <w:r w:rsidR="007F1C36" w:rsidRPr="00323D5D">
        <w:t xml:space="preserve"> freight operating savings. </w:t>
      </w:r>
      <w:r w:rsidR="006E710B" w:rsidRPr="00323D5D">
        <w:t xml:space="preserve"> Both of t</w:t>
      </w:r>
      <w:r w:rsidRPr="00323D5D">
        <w:t>hese benefits are driven</w:t>
      </w:r>
      <w:r w:rsidR="001F3FA8" w:rsidRPr="00323D5D">
        <w:t xml:space="preserve"> by the decrease in VHT </w:t>
      </w:r>
      <w:r w:rsidR="006E710B" w:rsidRPr="00323D5D">
        <w:t xml:space="preserve">reflective of greater efficiency in travel for all vehicle types through the assessment corridor </w:t>
      </w:r>
      <w:r w:rsidR="001F3FA8" w:rsidRPr="00323D5D">
        <w:t>in the build scenario.</w:t>
      </w:r>
      <w:r w:rsidR="007F1C36" w:rsidRPr="00323D5D">
        <w:t xml:space="preserve">  </w:t>
      </w:r>
      <w:r w:rsidRPr="00323D5D">
        <w:t>The third largest</w:t>
      </w:r>
      <w:r w:rsidR="006E710B" w:rsidRPr="00323D5D">
        <w:t xml:space="preserve"> contributors to the benefits are </w:t>
      </w:r>
      <w:r w:rsidRPr="00323D5D">
        <w:t>those related to safety and specifically the reduction in accidents associated with VMT avoided due to mode shift</w:t>
      </w:r>
      <w:r w:rsidR="00F60786">
        <w:t xml:space="preserve"> to carpooling and to transit</w:t>
      </w:r>
      <w:r w:rsidRPr="00323D5D">
        <w:t>.</w:t>
      </w:r>
      <w:r w:rsidR="006E710B" w:rsidRPr="00323D5D">
        <w:t xml:space="preserve"> This VMT avoidance is also the major driver for vehicle </w:t>
      </w:r>
      <w:r w:rsidR="00F60786">
        <w:t xml:space="preserve">operations and </w:t>
      </w:r>
      <w:r w:rsidR="006E710B" w:rsidRPr="00323D5D">
        <w:t xml:space="preserve">maintenance savings, the fourth largest contributor to the benefits generated by the Project. </w:t>
      </w:r>
    </w:p>
    <w:p w:rsidR="00F60786" w:rsidRPr="002865F6" w:rsidRDefault="00F60786" w:rsidP="00F60786">
      <w:pPr>
        <w:pStyle w:val="Heading2"/>
      </w:pPr>
      <w:bookmarkStart w:id="168" w:name="_Toc448780355"/>
      <w:r w:rsidRPr="002865F6">
        <w:t xml:space="preserve">Benefits by </w:t>
      </w:r>
      <w:r w:rsidR="002865F6" w:rsidRPr="002865F6">
        <w:t>Long Term Outcomes</w:t>
      </w:r>
      <w:bookmarkEnd w:id="168"/>
    </w:p>
    <w:p w:rsidR="003E0565" w:rsidRDefault="003E0565" w:rsidP="00E50829">
      <w:pPr>
        <w:pStyle w:val="Heading3"/>
        <w:rPr>
          <w:rFonts w:ascii="Times New Roman" w:hAnsi="Times New Roman" w:cs="Times New Roman"/>
        </w:rPr>
      </w:pPr>
      <w:bookmarkStart w:id="169" w:name="_Toc448780356"/>
      <w:r w:rsidRPr="00323D5D">
        <w:rPr>
          <w:rFonts w:ascii="Times New Roman" w:hAnsi="Times New Roman" w:cs="Times New Roman"/>
        </w:rPr>
        <w:t xml:space="preserve">Economic </w:t>
      </w:r>
      <w:r w:rsidR="00C3525E">
        <w:rPr>
          <w:rFonts w:ascii="Times New Roman" w:hAnsi="Times New Roman" w:cs="Times New Roman"/>
        </w:rPr>
        <w:t>Competitiveness</w:t>
      </w:r>
      <w:bookmarkEnd w:id="169"/>
    </w:p>
    <w:tbl>
      <w:tblPr>
        <w:tblW w:w="5000" w:type="pct"/>
        <w:tblLook w:val="04A0" w:firstRow="1" w:lastRow="0" w:firstColumn="1" w:lastColumn="0" w:noHBand="0" w:noVBand="1"/>
      </w:tblPr>
      <w:tblGrid>
        <w:gridCol w:w="5354"/>
        <w:gridCol w:w="2111"/>
        <w:gridCol w:w="2111"/>
      </w:tblGrid>
      <w:tr w:rsidR="002865F6" w:rsidRPr="002865F6" w:rsidTr="002865F6">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auto"/>
            <w:vAlign w:val="bottom"/>
            <w:hideMark/>
          </w:tcPr>
          <w:p w:rsidR="002865F6" w:rsidRPr="002865F6" w:rsidRDefault="002865F6" w:rsidP="002865F6">
            <w:pPr>
              <w:spacing w:line="240" w:lineRule="auto"/>
              <w:jc w:val="center"/>
              <w:rPr>
                <w:b/>
                <w:color w:val="000000"/>
                <w:szCs w:val="22"/>
              </w:rPr>
            </w:pPr>
            <w:r w:rsidRPr="002865F6">
              <w:rPr>
                <w:b/>
                <w:color w:val="000000"/>
                <w:szCs w:val="22"/>
              </w:rPr>
              <w:t xml:space="preserve">Economic Competitiveness </w:t>
            </w:r>
            <w:r>
              <w:rPr>
                <w:b/>
                <w:color w:val="000000"/>
                <w:szCs w:val="22"/>
              </w:rPr>
              <w:t>Benefits Summary</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tcPr>
          <w:p w:rsidR="002865F6" w:rsidRPr="002865F6" w:rsidRDefault="002865F6" w:rsidP="002865F6">
            <w:pPr>
              <w:spacing w:line="240" w:lineRule="auto"/>
              <w:rPr>
                <w:color w:val="000000"/>
                <w:szCs w:val="22"/>
              </w:rPr>
            </w:pPr>
          </w:p>
        </w:tc>
        <w:tc>
          <w:tcPr>
            <w:tcW w:w="783" w:type="pct"/>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7% Discount ($2016)</w:t>
            </w:r>
          </w:p>
        </w:tc>
        <w:tc>
          <w:tcPr>
            <w:tcW w:w="783" w:type="pct"/>
            <w:tcBorders>
              <w:top w:val="nil"/>
              <w:left w:val="nil"/>
              <w:bottom w:val="single" w:sz="4" w:space="0" w:color="auto"/>
              <w:right w:val="single" w:sz="4" w:space="0" w:color="auto"/>
            </w:tcBorders>
            <w:shd w:val="clear" w:color="000000" w:fill="FFFFFF"/>
            <w:noWrap/>
            <w:vAlign w:val="bottom"/>
          </w:tcPr>
          <w:p w:rsidR="002865F6" w:rsidRPr="00295021" w:rsidRDefault="002865F6" w:rsidP="00FC1390">
            <w:pPr>
              <w:spacing w:line="240" w:lineRule="auto"/>
              <w:jc w:val="center"/>
              <w:rPr>
                <w:color w:val="000000"/>
                <w:szCs w:val="22"/>
              </w:rPr>
            </w:pPr>
            <w:r>
              <w:rPr>
                <w:color w:val="000000"/>
                <w:szCs w:val="22"/>
              </w:rPr>
              <w:t>3% Discount ($2016)</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Travel Time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124.9</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211.6</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Mode Shift Vehicle Operating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29.2</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49.8</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Bus Travel Time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5.5</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9.4</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Bus Operating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0.9</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1.5</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Inventory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0.0</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0.1</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Freight Operating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37.2</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61.3</w:t>
            </w:r>
          </w:p>
        </w:tc>
      </w:tr>
      <w:tr w:rsidR="002865F6" w:rsidRPr="002865F6" w:rsidTr="002865F6">
        <w:trPr>
          <w:trHeight w:val="288"/>
        </w:trPr>
        <w:tc>
          <w:tcPr>
            <w:tcW w:w="3434"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Bike Mode Shift Vehicle Operating Savings </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1.2</w:t>
            </w:r>
          </w:p>
        </w:tc>
        <w:tc>
          <w:tcPr>
            <w:tcW w:w="783"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2.1</w:t>
            </w:r>
          </w:p>
        </w:tc>
      </w:tr>
    </w:tbl>
    <w:p w:rsidR="002865F6" w:rsidRPr="002865F6" w:rsidRDefault="002865F6" w:rsidP="002865F6">
      <w:pPr>
        <w:pStyle w:val="BodyText"/>
      </w:pPr>
    </w:p>
    <w:p w:rsidR="00F60786" w:rsidRPr="00323D5D" w:rsidRDefault="00F60786" w:rsidP="00F60786">
      <w:pPr>
        <w:pStyle w:val="Heading4"/>
      </w:pPr>
      <w:bookmarkStart w:id="170" w:name="_Toc448780357"/>
      <w:r w:rsidRPr="00323D5D">
        <w:t>Personal Vehicle and Passenger Travel Time Savings</w:t>
      </w:r>
      <w:bookmarkEnd w:id="170"/>
      <w:r w:rsidRPr="00323D5D">
        <w:t xml:space="preserve"> </w:t>
      </w:r>
    </w:p>
    <w:p w:rsidR="009A6920" w:rsidRPr="00323D5D" w:rsidRDefault="009A6920" w:rsidP="009A6920">
      <w:pPr>
        <w:pStyle w:val="BodyText"/>
      </w:pPr>
      <w:r w:rsidRPr="00323D5D">
        <w:t xml:space="preserve">Travel time savings were calculated using the reduction in VHT between the build and baseline scenario and applying this quantum to the Value of Time assumptions identified in </w:t>
      </w:r>
      <w:r w:rsidRPr="006A21C2">
        <w:t>Section 2.</w:t>
      </w:r>
      <w:r w:rsidR="00F60786" w:rsidRPr="006A21C2">
        <w:t>1</w:t>
      </w:r>
      <w:r w:rsidRPr="006A21C2">
        <w:t>.</w:t>
      </w:r>
      <w:r w:rsidR="00F60786" w:rsidRPr="00F60786">
        <w:t>2</w:t>
      </w:r>
      <w:r w:rsidRPr="00F60786">
        <w:t>.</w:t>
      </w:r>
      <w:r w:rsidR="005C51F4">
        <w:t>5</w:t>
      </w:r>
      <w:r w:rsidRPr="00323D5D">
        <w:t xml:space="preserve">  Total travel time savings for personal vehicle drivers and their passengers total $</w:t>
      </w:r>
      <w:r w:rsidR="002865F6">
        <w:t>124.9</w:t>
      </w:r>
      <w:r w:rsidRPr="00323D5D">
        <w:t xml:space="preserve"> million at a 7% discount and $</w:t>
      </w:r>
      <w:r w:rsidR="002865F6">
        <w:t>211.6</w:t>
      </w:r>
      <w:r w:rsidRPr="00323D5D">
        <w:t xml:space="preserve"> million at a 3% discount.  An overview of the travel time savings for personal vehicles and passengers is shown in Table </w:t>
      </w:r>
      <w:r w:rsidR="00F60786">
        <w:t>34</w:t>
      </w:r>
      <w:r w:rsidRPr="00323D5D">
        <w:t xml:space="preserve">. </w:t>
      </w:r>
    </w:p>
    <w:p w:rsidR="00F60786" w:rsidRDefault="009A6920" w:rsidP="009A6920">
      <w:pPr>
        <w:pStyle w:val="BodyText"/>
        <w:spacing w:after="0"/>
        <w:jc w:val="center"/>
        <w:rPr>
          <w:b/>
          <w:sz w:val="18"/>
          <w:szCs w:val="18"/>
        </w:rPr>
      </w:pPr>
      <w:r w:rsidRPr="00323D5D">
        <w:rPr>
          <w:b/>
          <w:sz w:val="18"/>
          <w:szCs w:val="18"/>
        </w:rPr>
        <w:t xml:space="preserve">Table </w:t>
      </w:r>
      <w:r w:rsidR="00F60786">
        <w:rPr>
          <w:b/>
          <w:sz w:val="18"/>
          <w:szCs w:val="18"/>
        </w:rPr>
        <w:t>34</w:t>
      </w:r>
      <w:r w:rsidRPr="00323D5D">
        <w:rPr>
          <w:b/>
          <w:sz w:val="18"/>
          <w:szCs w:val="18"/>
        </w:rPr>
        <w:t>: Travel Time Savings: Personal Vehicle and Passengers (2021-2040)</w:t>
      </w:r>
    </w:p>
    <w:tbl>
      <w:tblPr>
        <w:tblW w:w="5000" w:type="pct"/>
        <w:tblLook w:val="04A0" w:firstRow="1" w:lastRow="0" w:firstColumn="1" w:lastColumn="0" w:noHBand="0" w:noVBand="1"/>
      </w:tblPr>
      <w:tblGrid>
        <w:gridCol w:w="4060"/>
        <w:gridCol w:w="1110"/>
        <w:gridCol w:w="923"/>
        <w:gridCol w:w="924"/>
        <w:gridCol w:w="924"/>
        <w:gridCol w:w="924"/>
        <w:gridCol w:w="711"/>
      </w:tblGrid>
      <w:tr w:rsidR="00D962A2" w:rsidRPr="00F60786" w:rsidTr="002865F6">
        <w:trPr>
          <w:trHeight w:val="360"/>
        </w:trPr>
        <w:tc>
          <w:tcPr>
            <w:tcW w:w="16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rPr>
                <w:color w:val="000000"/>
                <w:szCs w:val="22"/>
              </w:rPr>
            </w:pPr>
            <w:r w:rsidRPr="00F60786">
              <w:rPr>
                <w:color w:val="000000"/>
                <w:szCs w:val="22"/>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color w:val="000000"/>
                <w:szCs w:val="22"/>
              </w:rPr>
            </w:pPr>
            <w:r w:rsidRPr="00F60786">
              <w:rPr>
                <w:color w:val="000000"/>
                <w:szCs w:val="22"/>
              </w:rPr>
              <w:t>2021</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color w:val="000000"/>
                <w:szCs w:val="22"/>
              </w:rPr>
            </w:pPr>
            <w:r w:rsidRPr="00F60786">
              <w:rPr>
                <w:color w:val="000000"/>
                <w:szCs w:val="22"/>
              </w:rPr>
              <w:t>2025</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color w:val="000000"/>
                <w:szCs w:val="22"/>
              </w:rPr>
            </w:pPr>
            <w:r w:rsidRPr="00F60786">
              <w:rPr>
                <w:color w:val="000000"/>
                <w:szCs w:val="22"/>
              </w:rPr>
              <w:t>2030</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color w:val="000000"/>
                <w:szCs w:val="22"/>
              </w:rPr>
            </w:pPr>
            <w:r w:rsidRPr="00F60786">
              <w:rPr>
                <w:color w:val="000000"/>
                <w:szCs w:val="22"/>
              </w:rPr>
              <w:t>2035</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color w:val="000000"/>
                <w:szCs w:val="22"/>
              </w:rPr>
            </w:pPr>
            <w:r w:rsidRPr="00F60786">
              <w:rPr>
                <w:color w:val="000000"/>
                <w:szCs w:val="22"/>
              </w:rPr>
              <w:t>2040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rPr>
                <w:color w:val="000000"/>
                <w:szCs w:val="22"/>
              </w:rPr>
            </w:pPr>
            <w:r w:rsidRPr="00F60786">
              <w:rPr>
                <w:color w:val="000000"/>
                <w:szCs w:val="22"/>
              </w:rPr>
              <w:t>Total</w:t>
            </w:r>
          </w:p>
        </w:tc>
      </w:tr>
      <w:tr w:rsidR="002865F6" w:rsidRPr="00F60786" w:rsidTr="002865F6">
        <w:trPr>
          <w:trHeight w:val="288"/>
        </w:trPr>
        <w:tc>
          <w:tcPr>
            <w:tcW w:w="1613" w:type="pct"/>
            <w:tcBorders>
              <w:top w:val="nil"/>
              <w:left w:val="single" w:sz="4" w:space="0" w:color="auto"/>
              <w:bottom w:val="single" w:sz="4" w:space="0" w:color="auto"/>
              <w:right w:val="single" w:sz="4" w:space="0" w:color="auto"/>
            </w:tcBorders>
            <w:shd w:val="clear" w:color="auto" w:fill="auto"/>
            <w:noWrap/>
            <w:vAlign w:val="bottom"/>
            <w:hideMark/>
          </w:tcPr>
          <w:p w:rsidR="002865F6" w:rsidRPr="00F60786" w:rsidRDefault="002865F6" w:rsidP="00F60786">
            <w:pPr>
              <w:spacing w:line="240" w:lineRule="auto"/>
              <w:rPr>
                <w:color w:val="000000"/>
                <w:szCs w:val="22"/>
              </w:rPr>
            </w:pPr>
            <w:r w:rsidRPr="00F60786">
              <w:rPr>
                <w:color w:val="000000"/>
                <w:szCs w:val="22"/>
              </w:rPr>
              <w:t>Travel Time Savings ($M)</w:t>
            </w:r>
          </w:p>
        </w:tc>
        <w:tc>
          <w:tcPr>
            <w:tcW w:w="67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10.0</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14.8</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17.2</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18.4</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19.0</w:t>
            </w:r>
          </w:p>
        </w:tc>
        <w:tc>
          <w:tcPr>
            <w:tcW w:w="41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b/>
                <w:bCs/>
                <w:color w:val="000000"/>
                <w:szCs w:val="22"/>
              </w:rPr>
            </w:pPr>
            <w:r w:rsidRPr="002865F6">
              <w:rPr>
                <w:b/>
                <w:bCs/>
                <w:color w:val="000000"/>
                <w:szCs w:val="22"/>
              </w:rPr>
              <w:t>328.6</w:t>
            </w:r>
          </w:p>
        </w:tc>
      </w:tr>
      <w:tr w:rsidR="002865F6" w:rsidRPr="00F60786" w:rsidTr="002865F6">
        <w:trPr>
          <w:trHeight w:val="564"/>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rsidR="002865F6" w:rsidRPr="00F60786" w:rsidRDefault="002865F6" w:rsidP="00F60786">
            <w:pPr>
              <w:spacing w:line="240" w:lineRule="auto"/>
              <w:rPr>
                <w:color w:val="000000"/>
                <w:szCs w:val="22"/>
              </w:rPr>
            </w:pPr>
            <w:r w:rsidRPr="00F60786">
              <w:rPr>
                <w:color w:val="000000"/>
                <w:szCs w:val="22"/>
              </w:rPr>
              <w:t>Travel time Savings @ 7 percent ($2016M)</w:t>
            </w:r>
          </w:p>
        </w:tc>
        <w:tc>
          <w:tcPr>
            <w:tcW w:w="67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7.2</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8.0</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6.7</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5.1</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3.7</w:t>
            </w:r>
          </w:p>
        </w:tc>
        <w:tc>
          <w:tcPr>
            <w:tcW w:w="41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b/>
                <w:bCs/>
                <w:color w:val="000000"/>
                <w:szCs w:val="22"/>
              </w:rPr>
            </w:pPr>
            <w:r w:rsidRPr="002865F6">
              <w:rPr>
                <w:b/>
                <w:bCs/>
                <w:color w:val="000000"/>
                <w:szCs w:val="22"/>
              </w:rPr>
              <w:t>124.9</w:t>
            </w:r>
          </w:p>
        </w:tc>
      </w:tr>
      <w:tr w:rsidR="002865F6" w:rsidRPr="00F60786" w:rsidTr="002865F6">
        <w:trPr>
          <w:trHeight w:val="564"/>
        </w:trPr>
        <w:tc>
          <w:tcPr>
            <w:tcW w:w="1613" w:type="pct"/>
            <w:tcBorders>
              <w:top w:val="nil"/>
              <w:left w:val="single" w:sz="4" w:space="0" w:color="auto"/>
              <w:bottom w:val="single" w:sz="4" w:space="0" w:color="auto"/>
              <w:right w:val="single" w:sz="4" w:space="0" w:color="auto"/>
            </w:tcBorders>
            <w:shd w:val="clear" w:color="auto" w:fill="auto"/>
            <w:noWrap/>
            <w:vAlign w:val="center"/>
            <w:hideMark/>
          </w:tcPr>
          <w:p w:rsidR="002865F6" w:rsidRPr="00F60786" w:rsidRDefault="002865F6" w:rsidP="00F60786">
            <w:pPr>
              <w:spacing w:line="240" w:lineRule="auto"/>
              <w:rPr>
                <w:color w:val="000000"/>
                <w:szCs w:val="22"/>
              </w:rPr>
            </w:pPr>
            <w:r w:rsidRPr="00F60786">
              <w:rPr>
                <w:color w:val="000000"/>
                <w:szCs w:val="22"/>
              </w:rPr>
              <w:t>Travel time Savings @ 3 percent ($2016M)</w:t>
            </w:r>
          </w:p>
        </w:tc>
        <w:tc>
          <w:tcPr>
            <w:tcW w:w="67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8.7</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11.3</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11.4</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10.5</w:t>
            </w:r>
          </w:p>
        </w:tc>
        <w:tc>
          <w:tcPr>
            <w:tcW w:w="575"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color w:val="000000"/>
                <w:szCs w:val="22"/>
              </w:rPr>
            </w:pPr>
            <w:r w:rsidRPr="002865F6">
              <w:rPr>
                <w:color w:val="000000"/>
                <w:szCs w:val="22"/>
              </w:rPr>
              <w:t>9.3</w:t>
            </w:r>
          </w:p>
        </w:tc>
        <w:tc>
          <w:tcPr>
            <w:tcW w:w="413"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jc w:val="center"/>
              <w:rPr>
                <w:b/>
                <w:bCs/>
                <w:color w:val="000000"/>
                <w:szCs w:val="22"/>
              </w:rPr>
            </w:pPr>
            <w:r w:rsidRPr="002865F6">
              <w:rPr>
                <w:b/>
                <w:bCs/>
                <w:color w:val="000000"/>
                <w:szCs w:val="22"/>
              </w:rPr>
              <w:t>211.6</w:t>
            </w:r>
          </w:p>
        </w:tc>
      </w:tr>
    </w:tbl>
    <w:p w:rsidR="009A6920" w:rsidRPr="00323D5D" w:rsidRDefault="009A6920" w:rsidP="009A6920">
      <w:pPr>
        <w:pStyle w:val="BodyText"/>
        <w:rPr>
          <w:sz w:val="18"/>
          <w:szCs w:val="18"/>
        </w:rPr>
      </w:pPr>
      <w:r w:rsidRPr="00323D5D">
        <w:rPr>
          <w:sz w:val="18"/>
          <w:szCs w:val="18"/>
        </w:rPr>
        <w:t xml:space="preserve">Source: Muller, AECOM </w:t>
      </w:r>
    </w:p>
    <w:p w:rsidR="00D14818" w:rsidRPr="00323D5D" w:rsidRDefault="00D14818" w:rsidP="00750131">
      <w:pPr>
        <w:pStyle w:val="Heading4"/>
        <w:rPr>
          <w:rFonts w:ascii="Times New Roman" w:hAnsi="Times New Roman"/>
        </w:rPr>
      </w:pPr>
      <w:bookmarkStart w:id="171" w:name="_Toc448780358"/>
      <w:r w:rsidRPr="00323D5D">
        <w:rPr>
          <w:rFonts w:ascii="Times New Roman" w:hAnsi="Times New Roman"/>
        </w:rPr>
        <w:t xml:space="preserve">Travel Time Savings – </w:t>
      </w:r>
      <w:proofErr w:type="spellStart"/>
      <w:r w:rsidRPr="00323D5D">
        <w:rPr>
          <w:rFonts w:ascii="Times New Roman" w:hAnsi="Times New Roman"/>
        </w:rPr>
        <w:t>Bustang</w:t>
      </w:r>
      <w:proofErr w:type="spellEnd"/>
      <w:r w:rsidRPr="00323D5D">
        <w:rPr>
          <w:rFonts w:ascii="Times New Roman" w:hAnsi="Times New Roman"/>
        </w:rPr>
        <w:t xml:space="preserve"> Passengers</w:t>
      </w:r>
      <w:bookmarkEnd w:id="171"/>
    </w:p>
    <w:p w:rsidR="009A6920" w:rsidRPr="00323D5D" w:rsidRDefault="009A6920" w:rsidP="009A6920">
      <w:pPr>
        <w:pStyle w:val="BodyText"/>
      </w:pPr>
      <w:r w:rsidRPr="00323D5D">
        <w:t xml:space="preserve">Travel time savings for passengers of </w:t>
      </w:r>
      <w:proofErr w:type="spellStart"/>
      <w:r w:rsidRPr="00323D5D">
        <w:t>Bustang</w:t>
      </w:r>
      <w:proofErr w:type="spellEnd"/>
      <w:r w:rsidRPr="00323D5D">
        <w:t xml:space="preserve"> Express Buses were calculated using the reduction in VHT between the build and baseline scenario and applying this quantum to the Value of Time assumptions identified in </w:t>
      </w:r>
      <w:r w:rsidR="00F60786" w:rsidRPr="00255DEE">
        <w:t>Section 2.1.</w:t>
      </w:r>
      <w:r w:rsidR="00F60786" w:rsidRPr="00F60786">
        <w:t>2.</w:t>
      </w:r>
      <w:r w:rsidR="005C51F4">
        <w:t>5</w:t>
      </w:r>
      <w:r w:rsidR="00F60786">
        <w:t xml:space="preserve">. </w:t>
      </w:r>
      <w:r w:rsidRPr="00323D5D">
        <w:t xml:space="preserve">Total travel time savings for passengers using the </w:t>
      </w:r>
      <w:proofErr w:type="spellStart"/>
      <w:r w:rsidRPr="00323D5D">
        <w:t>Bustang</w:t>
      </w:r>
      <w:proofErr w:type="spellEnd"/>
      <w:r w:rsidRPr="00323D5D">
        <w:t xml:space="preserve"> Express Bus total $</w:t>
      </w:r>
      <w:r w:rsidR="002865F6">
        <w:t>5.5</w:t>
      </w:r>
      <w:r w:rsidR="008E3643" w:rsidRPr="00323D5D">
        <w:t xml:space="preserve"> </w:t>
      </w:r>
      <w:r w:rsidRPr="00323D5D">
        <w:t>million at a 7% discount and $</w:t>
      </w:r>
      <w:r w:rsidR="002865F6">
        <w:t>9.4</w:t>
      </w:r>
      <w:r w:rsidRPr="00323D5D">
        <w:t xml:space="preserve"> million at a 3% discount.  An overview of the travel time savings for personal vehicles and passengers is shown in Table </w:t>
      </w:r>
      <w:r w:rsidR="00D962A2">
        <w:t>35</w:t>
      </w:r>
      <w:r w:rsidRPr="00323D5D">
        <w:t xml:space="preserve">. </w:t>
      </w:r>
    </w:p>
    <w:p w:rsidR="009A6920" w:rsidRDefault="009A6920" w:rsidP="009A6920">
      <w:pPr>
        <w:pStyle w:val="BodyText"/>
        <w:spacing w:after="0"/>
        <w:jc w:val="center"/>
        <w:rPr>
          <w:b/>
          <w:sz w:val="18"/>
          <w:szCs w:val="18"/>
        </w:rPr>
      </w:pPr>
      <w:r w:rsidRPr="00323D5D">
        <w:rPr>
          <w:b/>
          <w:sz w:val="18"/>
          <w:szCs w:val="18"/>
        </w:rPr>
        <w:lastRenderedPageBreak/>
        <w:t xml:space="preserve">Table </w:t>
      </w:r>
      <w:r w:rsidR="00D962A2">
        <w:rPr>
          <w:b/>
          <w:sz w:val="18"/>
          <w:szCs w:val="18"/>
        </w:rPr>
        <w:t>35</w:t>
      </w:r>
      <w:r w:rsidRPr="00323D5D">
        <w:rPr>
          <w:b/>
          <w:sz w:val="18"/>
          <w:szCs w:val="18"/>
        </w:rPr>
        <w:t xml:space="preserve">: Travel Time Savings: </w:t>
      </w:r>
      <w:proofErr w:type="spellStart"/>
      <w:r w:rsidRPr="00323D5D">
        <w:rPr>
          <w:b/>
          <w:sz w:val="18"/>
          <w:szCs w:val="18"/>
        </w:rPr>
        <w:t>Bustang</w:t>
      </w:r>
      <w:proofErr w:type="spellEnd"/>
      <w:r w:rsidRPr="00323D5D">
        <w:rPr>
          <w:b/>
          <w:sz w:val="18"/>
          <w:szCs w:val="18"/>
        </w:rPr>
        <w:t xml:space="preserve"> Passengers (2021-2040)</w:t>
      </w:r>
    </w:p>
    <w:tbl>
      <w:tblPr>
        <w:tblW w:w="5000" w:type="pct"/>
        <w:tblLook w:val="04A0" w:firstRow="1" w:lastRow="0" w:firstColumn="1" w:lastColumn="0" w:noHBand="0" w:noVBand="1"/>
      </w:tblPr>
      <w:tblGrid>
        <w:gridCol w:w="4060"/>
        <w:gridCol w:w="1054"/>
        <w:gridCol w:w="933"/>
        <w:gridCol w:w="933"/>
        <w:gridCol w:w="934"/>
        <w:gridCol w:w="934"/>
        <w:gridCol w:w="728"/>
      </w:tblGrid>
      <w:tr w:rsidR="00D962A2" w:rsidRPr="00F60786" w:rsidTr="0010593E">
        <w:trPr>
          <w:trHeight w:val="288"/>
        </w:trPr>
        <w:tc>
          <w:tcPr>
            <w:tcW w:w="1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rPr>
                <w:color w:val="000000"/>
                <w:szCs w:val="22"/>
              </w:rPr>
            </w:pPr>
            <w:r w:rsidRPr="00F60786">
              <w:rPr>
                <w:color w:val="000000"/>
                <w:szCs w:val="22"/>
              </w:rPr>
              <w:t> </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b/>
                <w:bCs/>
                <w:color w:val="000000"/>
                <w:szCs w:val="22"/>
              </w:rPr>
            </w:pPr>
            <w:r w:rsidRPr="00F60786">
              <w:rPr>
                <w:b/>
                <w:bCs/>
                <w:color w:val="000000"/>
                <w:szCs w:val="22"/>
              </w:rPr>
              <w:t>2021</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b/>
                <w:bCs/>
                <w:color w:val="000000"/>
                <w:szCs w:val="22"/>
              </w:rPr>
            </w:pPr>
            <w:r w:rsidRPr="00F60786">
              <w:rPr>
                <w:b/>
                <w:bCs/>
                <w:color w:val="000000"/>
                <w:szCs w:val="22"/>
              </w:rPr>
              <w:t>2025</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b/>
                <w:bCs/>
                <w:color w:val="000000"/>
                <w:szCs w:val="22"/>
              </w:rPr>
            </w:pPr>
            <w:r w:rsidRPr="00F60786">
              <w:rPr>
                <w:b/>
                <w:bCs/>
                <w:color w:val="000000"/>
                <w:szCs w:val="22"/>
              </w:rPr>
              <w:t>2030</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b/>
                <w:bCs/>
                <w:color w:val="000000"/>
                <w:szCs w:val="22"/>
              </w:rPr>
            </w:pPr>
            <w:r w:rsidRPr="00F60786">
              <w:rPr>
                <w:b/>
                <w:bCs/>
                <w:color w:val="000000"/>
                <w:szCs w:val="22"/>
              </w:rPr>
              <w:t>2035</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jc w:val="right"/>
              <w:rPr>
                <w:b/>
                <w:bCs/>
                <w:color w:val="000000"/>
                <w:szCs w:val="22"/>
              </w:rPr>
            </w:pPr>
            <w:r w:rsidRPr="00F60786">
              <w:rPr>
                <w:b/>
                <w:bCs/>
                <w:color w:val="000000"/>
                <w:szCs w:val="22"/>
              </w:rPr>
              <w:t>2040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F60786" w:rsidRPr="00F60786" w:rsidRDefault="00F60786" w:rsidP="00F60786">
            <w:pPr>
              <w:spacing w:line="240" w:lineRule="auto"/>
              <w:rPr>
                <w:b/>
                <w:bCs/>
                <w:color w:val="000000"/>
                <w:szCs w:val="22"/>
              </w:rPr>
            </w:pPr>
            <w:r w:rsidRPr="00F60786">
              <w:rPr>
                <w:b/>
                <w:bCs/>
                <w:color w:val="000000"/>
                <w:szCs w:val="22"/>
              </w:rPr>
              <w:t>Total</w:t>
            </w:r>
          </w:p>
        </w:tc>
      </w:tr>
      <w:tr w:rsidR="0010593E" w:rsidRPr="00F60786" w:rsidTr="0010593E">
        <w:trPr>
          <w:trHeight w:val="288"/>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10593E" w:rsidRPr="00F60786" w:rsidRDefault="0010593E" w:rsidP="00F60786">
            <w:pPr>
              <w:spacing w:line="240" w:lineRule="auto"/>
              <w:rPr>
                <w:color w:val="000000"/>
                <w:szCs w:val="22"/>
              </w:rPr>
            </w:pPr>
            <w:r w:rsidRPr="00F60786">
              <w:rPr>
                <w:color w:val="000000"/>
                <w:szCs w:val="22"/>
              </w:rPr>
              <w:t>Travel time Savings ($M</w:t>
            </w:r>
            <w:r w:rsidRPr="00F60786">
              <w:rPr>
                <w:color w:val="000000"/>
                <w:sz w:val="16"/>
                <w:szCs w:val="16"/>
              </w:rPr>
              <w:t> </w:t>
            </w:r>
            <w:r w:rsidRPr="00F60786">
              <w:rPr>
                <w:color w:val="000000"/>
                <w:szCs w:val="22"/>
              </w:rPr>
              <w:t>)</w:t>
            </w:r>
          </w:p>
        </w:tc>
        <w:tc>
          <w:tcPr>
            <w:tcW w:w="61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0.5</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0.6</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0.7</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0.8</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1.0</w:t>
            </w:r>
          </w:p>
        </w:tc>
        <w:tc>
          <w:tcPr>
            <w:tcW w:w="44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bCs/>
                <w:color w:val="000000"/>
                <w:szCs w:val="22"/>
              </w:rPr>
            </w:pPr>
            <w:r w:rsidRPr="0010593E">
              <w:rPr>
                <w:b/>
                <w:bCs/>
                <w:color w:val="000000"/>
                <w:szCs w:val="22"/>
              </w:rPr>
              <w:t>14.8</w:t>
            </w:r>
          </w:p>
        </w:tc>
      </w:tr>
      <w:tr w:rsidR="0010593E" w:rsidRPr="00F60786" w:rsidTr="0010593E">
        <w:trPr>
          <w:trHeight w:val="288"/>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10593E" w:rsidRPr="00F60786" w:rsidRDefault="0010593E" w:rsidP="00F60786">
            <w:pPr>
              <w:spacing w:line="240" w:lineRule="auto"/>
              <w:rPr>
                <w:color w:val="000000"/>
                <w:szCs w:val="22"/>
              </w:rPr>
            </w:pPr>
            <w:r w:rsidRPr="00F60786">
              <w:rPr>
                <w:color w:val="000000"/>
                <w:szCs w:val="22"/>
              </w:rPr>
              <w:t>Travel time Savings @ 7 percent ($2016M)</w:t>
            </w:r>
          </w:p>
        </w:tc>
        <w:tc>
          <w:tcPr>
            <w:tcW w:w="61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0.3</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0.3</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0.3</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44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bCs/>
                <w:color w:val="000000"/>
                <w:szCs w:val="22"/>
              </w:rPr>
            </w:pPr>
            <w:r w:rsidRPr="0010593E">
              <w:rPr>
                <w:b/>
                <w:bCs/>
                <w:color w:val="000000"/>
                <w:szCs w:val="22"/>
              </w:rPr>
              <w:t>5.5</w:t>
            </w:r>
          </w:p>
        </w:tc>
      </w:tr>
      <w:tr w:rsidR="0010593E" w:rsidRPr="00F60786" w:rsidTr="0010593E">
        <w:trPr>
          <w:trHeight w:val="288"/>
        </w:trPr>
        <w:tc>
          <w:tcPr>
            <w:tcW w:w="1750" w:type="pct"/>
            <w:tcBorders>
              <w:top w:val="nil"/>
              <w:left w:val="single" w:sz="4" w:space="0" w:color="auto"/>
              <w:bottom w:val="single" w:sz="4" w:space="0" w:color="auto"/>
              <w:right w:val="single" w:sz="4" w:space="0" w:color="auto"/>
            </w:tcBorders>
            <w:shd w:val="clear" w:color="auto" w:fill="auto"/>
            <w:noWrap/>
            <w:vAlign w:val="center"/>
            <w:hideMark/>
          </w:tcPr>
          <w:p w:rsidR="0010593E" w:rsidRPr="00F60786" w:rsidRDefault="0010593E" w:rsidP="00F60786">
            <w:pPr>
              <w:spacing w:line="240" w:lineRule="auto"/>
              <w:rPr>
                <w:color w:val="000000"/>
                <w:szCs w:val="22"/>
              </w:rPr>
            </w:pPr>
            <w:r w:rsidRPr="00F60786">
              <w:rPr>
                <w:color w:val="000000"/>
                <w:szCs w:val="22"/>
              </w:rPr>
              <w:t>Travel time Savings @ 3 percent ($2016M)</w:t>
            </w:r>
          </w:p>
        </w:tc>
        <w:tc>
          <w:tcPr>
            <w:tcW w:w="61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0.4</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0.5</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0.5</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0.5</w:t>
            </w:r>
          </w:p>
        </w:tc>
        <w:tc>
          <w:tcPr>
            <w:tcW w:w="549"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0.5</w:t>
            </w:r>
          </w:p>
        </w:tc>
        <w:tc>
          <w:tcPr>
            <w:tcW w:w="44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bCs/>
                <w:color w:val="000000"/>
                <w:szCs w:val="22"/>
              </w:rPr>
            </w:pPr>
            <w:r w:rsidRPr="0010593E">
              <w:rPr>
                <w:b/>
                <w:bCs/>
                <w:color w:val="000000"/>
                <w:szCs w:val="22"/>
              </w:rPr>
              <w:t>9.4</w:t>
            </w:r>
          </w:p>
        </w:tc>
      </w:tr>
    </w:tbl>
    <w:p w:rsidR="009A6920" w:rsidRPr="00323D5D" w:rsidRDefault="009A6920" w:rsidP="009A6920">
      <w:pPr>
        <w:pStyle w:val="BodyText"/>
        <w:rPr>
          <w:sz w:val="18"/>
          <w:szCs w:val="18"/>
        </w:rPr>
      </w:pPr>
      <w:r w:rsidRPr="00323D5D">
        <w:rPr>
          <w:sz w:val="18"/>
          <w:szCs w:val="18"/>
        </w:rPr>
        <w:t xml:space="preserve">Source: CDOT Muller, AECOM </w:t>
      </w:r>
    </w:p>
    <w:p w:rsidR="00D14818" w:rsidRPr="00323D5D" w:rsidRDefault="00D14818" w:rsidP="00750131">
      <w:pPr>
        <w:pStyle w:val="Heading4"/>
        <w:rPr>
          <w:rFonts w:ascii="Times New Roman" w:hAnsi="Times New Roman"/>
        </w:rPr>
      </w:pPr>
      <w:bookmarkStart w:id="172" w:name="_Toc448780359"/>
      <w:r w:rsidRPr="00323D5D">
        <w:rPr>
          <w:rFonts w:ascii="Times New Roman" w:hAnsi="Times New Roman"/>
        </w:rPr>
        <w:t>Travel Time Savings – Commercial Truck Drivers</w:t>
      </w:r>
      <w:bookmarkEnd w:id="172"/>
      <w:r w:rsidRPr="00323D5D">
        <w:rPr>
          <w:rFonts w:ascii="Times New Roman" w:hAnsi="Times New Roman"/>
        </w:rPr>
        <w:t xml:space="preserve"> </w:t>
      </w:r>
    </w:p>
    <w:p w:rsidR="00750131" w:rsidRPr="00323D5D" w:rsidRDefault="00750131" w:rsidP="00750131">
      <w:pPr>
        <w:pStyle w:val="BodyText"/>
      </w:pPr>
      <w:r w:rsidRPr="00323D5D">
        <w:t xml:space="preserve">The implementation of the </w:t>
      </w:r>
      <w:r w:rsidR="003B3E40">
        <w:t>I-25 Project</w:t>
      </w:r>
      <w:r w:rsidRPr="00323D5D">
        <w:t xml:space="preserve"> will allow for the more efficient movement of freight </w:t>
      </w:r>
      <w:r w:rsidR="000367EA" w:rsidRPr="00323D5D">
        <w:t xml:space="preserve">due to lower levels of congestion and faster travel times </w:t>
      </w:r>
      <w:r w:rsidRPr="00323D5D">
        <w:t xml:space="preserve">through the </w:t>
      </w:r>
      <w:r w:rsidR="000367EA" w:rsidRPr="00323D5D">
        <w:t>assessment corridor.</w:t>
      </w:r>
      <w:r w:rsidR="00D14818" w:rsidRPr="00323D5D">
        <w:t xml:space="preserve">  Travel time savings for commercial truck drivers has been captured in the overall freight operating savings which can be found in </w:t>
      </w:r>
      <w:r w:rsidR="009A6920" w:rsidRPr="00D962A2">
        <w:t>S</w:t>
      </w:r>
      <w:r w:rsidR="00D14818" w:rsidRPr="006A21C2">
        <w:t xml:space="preserve">ection </w:t>
      </w:r>
      <w:r w:rsidR="00D962A2" w:rsidRPr="00D962A2">
        <w:t>5.1.</w:t>
      </w:r>
      <w:r w:rsidR="00C3525E">
        <w:t>2.2</w:t>
      </w:r>
      <w:r w:rsidR="00D14818" w:rsidRPr="00D962A2">
        <w:t>.</w:t>
      </w:r>
      <w:r w:rsidR="00D14818" w:rsidRPr="00323D5D">
        <w:t xml:space="preserve"> </w:t>
      </w:r>
      <w:r w:rsidR="000367EA" w:rsidRPr="00323D5D">
        <w:t xml:space="preserve"> </w:t>
      </w:r>
    </w:p>
    <w:p w:rsidR="00F74B43" w:rsidRPr="00323D5D" w:rsidRDefault="00F74B43" w:rsidP="00F74B43">
      <w:pPr>
        <w:pStyle w:val="Heading3"/>
        <w:rPr>
          <w:rFonts w:ascii="Times New Roman" w:hAnsi="Times New Roman" w:cs="Times New Roman"/>
        </w:rPr>
      </w:pPr>
      <w:bookmarkStart w:id="173" w:name="_Toc448780360"/>
      <w:r w:rsidRPr="00323D5D">
        <w:rPr>
          <w:rFonts w:ascii="Times New Roman" w:hAnsi="Times New Roman" w:cs="Times New Roman"/>
        </w:rPr>
        <w:t>Reduction in Vehicle Operating Costs</w:t>
      </w:r>
      <w:bookmarkEnd w:id="173"/>
    </w:p>
    <w:p w:rsidR="00F74B43" w:rsidRPr="00323D5D" w:rsidRDefault="00F74B43" w:rsidP="00F74B43">
      <w:pPr>
        <w:pStyle w:val="Heading4"/>
        <w:rPr>
          <w:rFonts w:ascii="Times New Roman" w:hAnsi="Times New Roman"/>
        </w:rPr>
      </w:pPr>
      <w:bookmarkStart w:id="174" w:name="_Toc448780361"/>
      <w:r w:rsidRPr="00323D5D">
        <w:rPr>
          <w:rFonts w:ascii="Times New Roman" w:hAnsi="Times New Roman"/>
        </w:rPr>
        <w:t>Personal Vehicle Operating Savings</w:t>
      </w:r>
      <w:bookmarkEnd w:id="174"/>
      <w:r w:rsidRPr="00323D5D">
        <w:rPr>
          <w:rFonts w:ascii="Times New Roman" w:hAnsi="Times New Roman"/>
        </w:rPr>
        <w:t xml:space="preserve"> </w:t>
      </w:r>
    </w:p>
    <w:p w:rsidR="00F74B43" w:rsidRPr="00323D5D" w:rsidRDefault="00F74B43" w:rsidP="00F74B43">
      <w:pPr>
        <w:pStyle w:val="BodyText"/>
      </w:pPr>
      <w:r w:rsidRPr="00323D5D">
        <w:t xml:space="preserve">Personal vehicle operation savings were calculated on VMT avoided through the implementation of the </w:t>
      </w:r>
      <w:r w:rsidR="003B3E40">
        <w:t>I-25 Project</w:t>
      </w:r>
      <w:r w:rsidRPr="00323D5D">
        <w:t xml:space="preserve"> as compared to the baseline scenario and applied to the benchmarked average operating costs per mile.  </w:t>
      </w:r>
      <w:r w:rsidR="003F606D" w:rsidRPr="00323D5D">
        <w:t>The resulting benefit is $</w:t>
      </w:r>
      <w:r w:rsidR="0010593E">
        <w:t>29.2M</w:t>
      </w:r>
      <w:r w:rsidR="00D962A2" w:rsidRPr="00323D5D">
        <w:t xml:space="preserve"> </w:t>
      </w:r>
      <w:r w:rsidR="003F606D" w:rsidRPr="00323D5D">
        <w:t>at a discount rate of 7% and $</w:t>
      </w:r>
      <w:r w:rsidR="0010593E">
        <w:t>49.8</w:t>
      </w:r>
      <w:r w:rsidR="003F606D" w:rsidRPr="00323D5D">
        <w:t xml:space="preserve"> at a discount rate of 3%.  </w:t>
      </w:r>
      <w:r w:rsidRPr="00323D5D">
        <w:t xml:space="preserve">An overview of VMT avoided and the discounted operating savings is shown in Table </w:t>
      </w:r>
      <w:r w:rsidR="00D962A2">
        <w:t>36</w:t>
      </w:r>
      <w:r w:rsidRPr="00323D5D">
        <w:t>.</w:t>
      </w:r>
    </w:p>
    <w:p w:rsidR="00F74B43" w:rsidRPr="00323D5D" w:rsidRDefault="00F74B43" w:rsidP="00F74B43">
      <w:pPr>
        <w:pStyle w:val="BodyText"/>
        <w:spacing w:after="0"/>
        <w:jc w:val="center"/>
        <w:rPr>
          <w:b/>
          <w:sz w:val="18"/>
          <w:szCs w:val="18"/>
        </w:rPr>
      </w:pPr>
      <w:r w:rsidRPr="00323D5D">
        <w:rPr>
          <w:b/>
          <w:sz w:val="18"/>
          <w:szCs w:val="18"/>
        </w:rPr>
        <w:t xml:space="preserve">Table </w:t>
      </w:r>
      <w:r w:rsidR="00D962A2">
        <w:rPr>
          <w:b/>
          <w:sz w:val="18"/>
          <w:szCs w:val="18"/>
        </w:rPr>
        <w:t>36</w:t>
      </w:r>
      <w:r w:rsidRPr="00323D5D">
        <w:rPr>
          <w:b/>
          <w:sz w:val="18"/>
          <w:szCs w:val="18"/>
        </w:rPr>
        <w:t xml:space="preserve">: </w:t>
      </w:r>
      <w:r w:rsidR="009A6920" w:rsidRPr="00323D5D">
        <w:rPr>
          <w:b/>
          <w:sz w:val="18"/>
          <w:szCs w:val="18"/>
        </w:rPr>
        <w:t>Travel Times and Savings (2021</w:t>
      </w:r>
      <w:r w:rsidRPr="00323D5D">
        <w:rPr>
          <w:b/>
          <w:sz w:val="18"/>
          <w:szCs w:val="18"/>
        </w:rPr>
        <w:t>-2040)</w:t>
      </w:r>
    </w:p>
    <w:p w:rsidR="003F606D" w:rsidRPr="00323D5D" w:rsidRDefault="003F606D" w:rsidP="00F74B43">
      <w:pPr>
        <w:pStyle w:val="BodyText"/>
        <w:spacing w:after="0"/>
        <w:jc w:val="center"/>
        <w:rPr>
          <w:b/>
          <w:sz w:val="18"/>
          <w:szCs w:val="18"/>
        </w:rPr>
      </w:pPr>
    </w:p>
    <w:tbl>
      <w:tblPr>
        <w:tblW w:w="5000" w:type="pct"/>
        <w:tblLook w:val="04A0" w:firstRow="1" w:lastRow="0" w:firstColumn="1" w:lastColumn="0" w:noHBand="0" w:noVBand="1"/>
      </w:tblPr>
      <w:tblGrid>
        <w:gridCol w:w="3958"/>
        <w:gridCol w:w="942"/>
        <w:gridCol w:w="942"/>
        <w:gridCol w:w="942"/>
        <w:gridCol w:w="942"/>
        <w:gridCol w:w="942"/>
        <w:gridCol w:w="908"/>
      </w:tblGrid>
      <w:tr w:rsidR="003F606D" w:rsidRPr="00323D5D" w:rsidTr="0010593E">
        <w:trPr>
          <w:trHeight w:val="288"/>
        </w:trPr>
        <w:tc>
          <w:tcPr>
            <w:tcW w:w="2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rPr>
                <w:color w:val="000000"/>
                <w:szCs w:val="22"/>
              </w:rPr>
            </w:pPr>
            <w:r w:rsidRPr="00323D5D">
              <w:rPr>
                <w:color w:val="000000"/>
                <w:szCs w:val="22"/>
              </w:rPr>
              <w:t> </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jc w:val="right"/>
              <w:rPr>
                <w:b/>
                <w:bCs/>
                <w:color w:val="000000"/>
                <w:szCs w:val="22"/>
              </w:rPr>
            </w:pPr>
            <w:r w:rsidRPr="00323D5D">
              <w:rPr>
                <w:b/>
                <w:bCs/>
                <w:color w:val="000000"/>
                <w:szCs w:val="22"/>
              </w:rPr>
              <w:t>2021</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jc w:val="right"/>
              <w:rPr>
                <w:b/>
                <w:bCs/>
                <w:color w:val="000000"/>
                <w:szCs w:val="22"/>
              </w:rPr>
            </w:pPr>
            <w:r w:rsidRPr="00323D5D">
              <w:rPr>
                <w:b/>
                <w:bCs/>
                <w:color w:val="000000"/>
                <w:szCs w:val="22"/>
              </w:rPr>
              <w:t>2025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jc w:val="right"/>
              <w:rPr>
                <w:b/>
                <w:bCs/>
                <w:color w:val="000000"/>
                <w:szCs w:val="22"/>
              </w:rPr>
            </w:pPr>
            <w:r w:rsidRPr="00323D5D">
              <w:rPr>
                <w:b/>
                <w:bCs/>
                <w:color w:val="000000"/>
                <w:szCs w:val="22"/>
              </w:rPr>
              <w:t>2030</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jc w:val="right"/>
              <w:rPr>
                <w:b/>
                <w:bCs/>
                <w:color w:val="000000"/>
                <w:szCs w:val="22"/>
              </w:rPr>
            </w:pPr>
            <w:r w:rsidRPr="00323D5D">
              <w:rPr>
                <w:b/>
                <w:bCs/>
                <w:color w:val="000000"/>
                <w:szCs w:val="22"/>
              </w:rPr>
              <w:t>2035</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jc w:val="right"/>
              <w:rPr>
                <w:b/>
                <w:bCs/>
                <w:color w:val="000000"/>
                <w:szCs w:val="22"/>
              </w:rPr>
            </w:pPr>
            <w:r w:rsidRPr="00323D5D">
              <w:rPr>
                <w:b/>
                <w:bCs/>
                <w:color w:val="000000"/>
                <w:szCs w:val="22"/>
              </w:rPr>
              <w:t>2040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F606D" w:rsidRPr="00323D5D" w:rsidRDefault="003F606D" w:rsidP="003F606D">
            <w:pPr>
              <w:spacing w:line="240" w:lineRule="auto"/>
              <w:rPr>
                <w:b/>
                <w:bCs/>
                <w:color w:val="000000"/>
                <w:szCs w:val="22"/>
              </w:rPr>
            </w:pPr>
            <w:r w:rsidRPr="00323D5D">
              <w:rPr>
                <w:b/>
                <w:bCs/>
                <w:color w:val="000000"/>
                <w:szCs w:val="22"/>
              </w:rPr>
              <w:t>Total</w:t>
            </w:r>
          </w:p>
        </w:tc>
      </w:tr>
      <w:tr w:rsidR="0010593E" w:rsidRPr="00323D5D" w:rsidTr="0010593E">
        <w:trPr>
          <w:trHeight w:val="288"/>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3F606D">
            <w:pPr>
              <w:spacing w:line="240" w:lineRule="auto"/>
              <w:rPr>
                <w:color w:val="000000"/>
                <w:szCs w:val="22"/>
              </w:rPr>
            </w:pPr>
            <w:r w:rsidRPr="0010593E">
              <w:rPr>
                <w:color w:val="000000"/>
                <w:szCs w:val="22"/>
              </w:rPr>
              <w:t>Annual Car Trips Avoided (Million)</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Cs/>
                <w:color w:val="000000"/>
                <w:szCs w:val="22"/>
              </w:rPr>
            </w:pPr>
            <w:r w:rsidRPr="0010593E">
              <w:rPr>
                <w:bCs/>
                <w:color w:val="000000"/>
                <w:szCs w:val="22"/>
              </w:rPr>
              <w:t>1.2</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1.5</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1.7</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22.3</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2.2</w:t>
            </w:r>
          </w:p>
        </w:tc>
        <w:tc>
          <w:tcPr>
            <w:tcW w:w="4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color w:val="000000"/>
                <w:szCs w:val="22"/>
              </w:rPr>
            </w:pPr>
            <w:r w:rsidRPr="0010593E">
              <w:rPr>
                <w:b/>
                <w:color w:val="000000"/>
                <w:szCs w:val="22"/>
              </w:rPr>
              <w:t>35.6</w:t>
            </w:r>
          </w:p>
        </w:tc>
      </w:tr>
      <w:tr w:rsidR="0010593E" w:rsidRPr="00323D5D" w:rsidTr="0010593E">
        <w:trPr>
          <w:trHeight w:val="288"/>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3F606D">
            <w:pPr>
              <w:spacing w:line="240" w:lineRule="auto"/>
              <w:rPr>
                <w:color w:val="000000"/>
                <w:szCs w:val="22"/>
              </w:rPr>
            </w:pPr>
            <w:r w:rsidRPr="0010593E">
              <w:rPr>
                <w:color w:val="000000"/>
                <w:szCs w:val="22"/>
              </w:rPr>
              <w:t>Annual VMT Avoided (Million)</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Cs/>
                <w:color w:val="000000"/>
                <w:szCs w:val="22"/>
              </w:rPr>
            </w:pPr>
            <w:r w:rsidRPr="0010593E">
              <w:rPr>
                <w:bCs/>
                <w:color w:val="000000"/>
                <w:szCs w:val="22"/>
              </w:rPr>
              <w:t>9.1</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10.6</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12.6</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161.6</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16.2</w:t>
            </w:r>
          </w:p>
        </w:tc>
        <w:tc>
          <w:tcPr>
            <w:tcW w:w="4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color w:val="000000"/>
                <w:szCs w:val="22"/>
              </w:rPr>
            </w:pPr>
            <w:r w:rsidRPr="0010593E">
              <w:rPr>
                <w:b/>
                <w:color w:val="000000"/>
                <w:szCs w:val="22"/>
              </w:rPr>
              <w:t>260.0</w:t>
            </w:r>
          </w:p>
        </w:tc>
      </w:tr>
      <w:tr w:rsidR="0010593E" w:rsidRPr="00323D5D" w:rsidTr="0010593E">
        <w:trPr>
          <w:trHeight w:val="288"/>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3F606D">
            <w:pPr>
              <w:spacing w:line="240" w:lineRule="auto"/>
              <w:rPr>
                <w:color w:val="000000"/>
                <w:szCs w:val="22"/>
              </w:rPr>
            </w:pPr>
            <w:r w:rsidRPr="0010593E">
              <w:rPr>
                <w:color w:val="000000"/>
                <w:szCs w:val="22"/>
              </w:rPr>
              <w:t>Operating Savings ($M)</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Cs/>
                <w:color w:val="000000"/>
                <w:szCs w:val="22"/>
              </w:rPr>
            </w:pPr>
            <w:r w:rsidRPr="0010593E">
              <w:rPr>
                <w:bCs/>
                <w:color w:val="000000"/>
                <w:szCs w:val="22"/>
              </w:rPr>
              <w:t>2.7</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3.2</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3.8</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48.4</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4.9</w:t>
            </w:r>
          </w:p>
        </w:tc>
        <w:tc>
          <w:tcPr>
            <w:tcW w:w="4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color w:val="000000"/>
                <w:szCs w:val="22"/>
              </w:rPr>
            </w:pPr>
            <w:r w:rsidRPr="0010593E">
              <w:rPr>
                <w:b/>
                <w:color w:val="000000"/>
                <w:szCs w:val="22"/>
              </w:rPr>
              <w:t>77.9</w:t>
            </w:r>
          </w:p>
        </w:tc>
      </w:tr>
      <w:tr w:rsidR="0010593E" w:rsidRPr="00323D5D" w:rsidTr="0010593E">
        <w:trPr>
          <w:trHeight w:val="288"/>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3F606D">
            <w:pPr>
              <w:spacing w:line="240" w:lineRule="auto"/>
              <w:rPr>
                <w:color w:val="000000"/>
                <w:szCs w:val="22"/>
              </w:rPr>
            </w:pPr>
            <w:r w:rsidRPr="0010593E">
              <w:rPr>
                <w:color w:val="000000"/>
                <w:szCs w:val="22"/>
              </w:rPr>
              <w:t>Operating savings 7% Discount ($2016M)</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Cs/>
                <w:color w:val="000000"/>
                <w:szCs w:val="22"/>
              </w:rPr>
            </w:pPr>
            <w:r w:rsidRPr="0010593E">
              <w:rPr>
                <w:bCs/>
                <w:color w:val="000000"/>
                <w:szCs w:val="22"/>
              </w:rPr>
              <w:t>1.9</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1.7</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1.5</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13.4</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1.0</w:t>
            </w:r>
          </w:p>
        </w:tc>
        <w:tc>
          <w:tcPr>
            <w:tcW w:w="4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color w:val="000000"/>
                <w:szCs w:val="22"/>
              </w:rPr>
            </w:pPr>
            <w:r w:rsidRPr="0010593E">
              <w:rPr>
                <w:b/>
                <w:color w:val="000000"/>
                <w:szCs w:val="22"/>
              </w:rPr>
              <w:t>29.2</w:t>
            </w:r>
          </w:p>
        </w:tc>
      </w:tr>
      <w:tr w:rsidR="0010593E" w:rsidRPr="00323D5D" w:rsidTr="0010593E">
        <w:trPr>
          <w:trHeight w:val="288"/>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3F606D">
            <w:pPr>
              <w:spacing w:line="240" w:lineRule="auto"/>
              <w:rPr>
                <w:color w:val="000000"/>
                <w:szCs w:val="22"/>
              </w:rPr>
            </w:pPr>
            <w:r w:rsidRPr="0010593E">
              <w:rPr>
                <w:color w:val="000000"/>
                <w:szCs w:val="22"/>
              </w:rPr>
              <w:t>Operating savings 3% Discount ($2016M)</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Cs/>
                <w:color w:val="000000"/>
                <w:szCs w:val="22"/>
              </w:rPr>
            </w:pPr>
            <w:r w:rsidRPr="0010593E">
              <w:rPr>
                <w:bCs/>
                <w:color w:val="000000"/>
                <w:szCs w:val="22"/>
              </w:rPr>
              <w:t>2.3</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2.4</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2.5</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27.6</w:t>
            </w:r>
          </w:p>
        </w:tc>
        <w:tc>
          <w:tcPr>
            <w:tcW w:w="49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2.4</w:t>
            </w:r>
          </w:p>
        </w:tc>
        <w:tc>
          <w:tcPr>
            <w:tcW w:w="4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b/>
                <w:color w:val="000000"/>
                <w:szCs w:val="22"/>
              </w:rPr>
            </w:pPr>
            <w:r w:rsidRPr="0010593E">
              <w:rPr>
                <w:b/>
                <w:color w:val="000000"/>
                <w:szCs w:val="22"/>
              </w:rPr>
              <w:t>49.8</w:t>
            </w:r>
          </w:p>
        </w:tc>
      </w:tr>
    </w:tbl>
    <w:p w:rsidR="009A6920" w:rsidRPr="00323D5D" w:rsidRDefault="009A6920" w:rsidP="009A6920">
      <w:pPr>
        <w:pStyle w:val="BodyText"/>
        <w:rPr>
          <w:sz w:val="18"/>
          <w:szCs w:val="18"/>
        </w:rPr>
      </w:pPr>
      <w:r w:rsidRPr="00323D5D">
        <w:rPr>
          <w:sz w:val="18"/>
          <w:szCs w:val="18"/>
        </w:rPr>
        <w:t xml:space="preserve">Source: Muller, AECOM </w:t>
      </w:r>
    </w:p>
    <w:p w:rsidR="00C3525E" w:rsidRPr="00323D5D" w:rsidRDefault="00C3525E" w:rsidP="00C3525E">
      <w:pPr>
        <w:pStyle w:val="Heading4"/>
        <w:rPr>
          <w:rFonts w:ascii="Times New Roman" w:hAnsi="Times New Roman"/>
        </w:rPr>
      </w:pPr>
      <w:bookmarkStart w:id="175" w:name="_Toc448780362"/>
      <w:r w:rsidRPr="00323D5D">
        <w:rPr>
          <w:rFonts w:ascii="Times New Roman" w:hAnsi="Times New Roman"/>
        </w:rPr>
        <w:t>Freight Operating Savings</w:t>
      </w:r>
      <w:bookmarkEnd w:id="175"/>
      <w:r w:rsidRPr="00323D5D">
        <w:rPr>
          <w:rFonts w:ascii="Times New Roman" w:hAnsi="Times New Roman"/>
        </w:rPr>
        <w:t xml:space="preserve"> </w:t>
      </w:r>
    </w:p>
    <w:p w:rsidR="00C3525E" w:rsidRDefault="00C3525E" w:rsidP="00C3525E">
      <w:pPr>
        <w:pStyle w:val="BodyText"/>
      </w:pPr>
      <w:r w:rsidRPr="00323D5D">
        <w:t xml:space="preserve">Freight operating savings were calculated using the annual operating hours avoided through the implementation of the </w:t>
      </w:r>
      <w:r>
        <w:t>I-25 Project</w:t>
      </w:r>
      <w:r w:rsidRPr="00323D5D">
        <w:t xml:space="preserve"> as compared to the baseline scenario which were applied to commercial truck operating costs per hour.  Freight operating benefits are $3</w:t>
      </w:r>
      <w:r>
        <w:t>3.6</w:t>
      </w:r>
      <w:r w:rsidRPr="00323D5D">
        <w:t xml:space="preserve"> million at a discounted rate of 7% and $</w:t>
      </w:r>
      <w:r>
        <w:t>55.2</w:t>
      </w:r>
      <w:r w:rsidRPr="00323D5D">
        <w:t xml:space="preserve"> million at a discount rate of 3%.  An overview of the reduction in commercial truck operating hours and associated operating savings is shown in Table </w:t>
      </w:r>
      <w:r>
        <w:t>37</w:t>
      </w:r>
      <w:r w:rsidRPr="00323D5D">
        <w:t>.</w:t>
      </w:r>
    </w:p>
    <w:p w:rsidR="00160EDE" w:rsidRDefault="00160EDE" w:rsidP="00C3525E">
      <w:pPr>
        <w:pStyle w:val="BodyText"/>
      </w:pPr>
    </w:p>
    <w:p w:rsidR="00160EDE" w:rsidRDefault="00160EDE" w:rsidP="00C3525E">
      <w:pPr>
        <w:pStyle w:val="BodyText"/>
      </w:pPr>
    </w:p>
    <w:p w:rsidR="00160EDE" w:rsidRDefault="00160EDE" w:rsidP="00C3525E">
      <w:pPr>
        <w:pStyle w:val="BodyText"/>
      </w:pPr>
    </w:p>
    <w:p w:rsidR="00160EDE" w:rsidRDefault="00160EDE" w:rsidP="00C3525E">
      <w:pPr>
        <w:pStyle w:val="BodyText"/>
      </w:pPr>
    </w:p>
    <w:p w:rsidR="00160EDE" w:rsidRPr="00323D5D" w:rsidRDefault="00160EDE" w:rsidP="00C3525E">
      <w:pPr>
        <w:pStyle w:val="BodyText"/>
      </w:pPr>
    </w:p>
    <w:p w:rsidR="00C3525E" w:rsidRDefault="00C3525E" w:rsidP="00C3525E">
      <w:pPr>
        <w:pStyle w:val="BodyText"/>
        <w:spacing w:after="0"/>
        <w:jc w:val="center"/>
        <w:rPr>
          <w:b/>
          <w:sz w:val="18"/>
          <w:szCs w:val="18"/>
        </w:rPr>
      </w:pPr>
      <w:r w:rsidRPr="00323D5D">
        <w:rPr>
          <w:b/>
          <w:sz w:val="18"/>
          <w:szCs w:val="18"/>
        </w:rPr>
        <w:t xml:space="preserve">Table </w:t>
      </w:r>
      <w:r>
        <w:rPr>
          <w:b/>
          <w:sz w:val="18"/>
          <w:szCs w:val="18"/>
        </w:rPr>
        <w:t>37</w:t>
      </w:r>
      <w:r w:rsidRPr="00323D5D">
        <w:rPr>
          <w:b/>
          <w:sz w:val="18"/>
          <w:szCs w:val="18"/>
        </w:rPr>
        <w:t>: Commercial Truck Operating Savings (2021-2040)</w:t>
      </w:r>
    </w:p>
    <w:tbl>
      <w:tblPr>
        <w:tblW w:w="5079" w:type="pct"/>
        <w:tblLook w:val="04A0" w:firstRow="1" w:lastRow="0" w:firstColumn="1" w:lastColumn="0" w:noHBand="0" w:noVBand="1"/>
      </w:tblPr>
      <w:tblGrid>
        <w:gridCol w:w="3956"/>
        <w:gridCol w:w="986"/>
        <w:gridCol w:w="986"/>
        <w:gridCol w:w="986"/>
        <w:gridCol w:w="986"/>
        <w:gridCol w:w="986"/>
        <w:gridCol w:w="1096"/>
      </w:tblGrid>
      <w:tr w:rsidR="00C3525E" w:rsidRPr="00D962A2" w:rsidTr="00C60137">
        <w:trPr>
          <w:trHeight w:val="360"/>
        </w:trPr>
        <w:tc>
          <w:tcPr>
            <w:tcW w:w="19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jc w:val="center"/>
              <w:rPr>
                <w:b/>
                <w:bCs/>
                <w:color w:val="000000"/>
                <w:szCs w:val="22"/>
              </w:rPr>
            </w:pPr>
            <w:r w:rsidRPr="00D962A2">
              <w:rPr>
                <w:b/>
                <w:bCs/>
                <w:color w:val="000000"/>
                <w:szCs w:val="22"/>
              </w:rPr>
              <w:t>2021</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jc w:val="center"/>
              <w:rPr>
                <w:b/>
                <w:bCs/>
                <w:color w:val="000000"/>
                <w:szCs w:val="22"/>
              </w:rPr>
            </w:pPr>
            <w:r w:rsidRPr="00D962A2">
              <w:rPr>
                <w:b/>
                <w:bCs/>
                <w:color w:val="000000"/>
                <w:szCs w:val="22"/>
              </w:rPr>
              <w:t>2025</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jc w:val="center"/>
              <w:rPr>
                <w:b/>
                <w:bCs/>
                <w:color w:val="000000"/>
                <w:szCs w:val="22"/>
              </w:rPr>
            </w:pPr>
            <w:r w:rsidRPr="00D962A2">
              <w:rPr>
                <w:b/>
                <w:bCs/>
                <w:color w:val="000000"/>
                <w:szCs w:val="22"/>
              </w:rPr>
              <w:t>2030</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jc w:val="center"/>
              <w:rPr>
                <w:b/>
                <w:bCs/>
                <w:color w:val="000000"/>
                <w:szCs w:val="22"/>
              </w:rPr>
            </w:pPr>
            <w:r w:rsidRPr="00D962A2">
              <w:rPr>
                <w:b/>
                <w:bCs/>
                <w:color w:val="000000"/>
                <w:szCs w:val="22"/>
              </w:rPr>
              <w:t>2035</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jc w:val="center"/>
              <w:rPr>
                <w:b/>
                <w:bCs/>
                <w:color w:val="000000"/>
                <w:szCs w:val="22"/>
              </w:rPr>
            </w:pPr>
            <w:r w:rsidRPr="00D962A2">
              <w:rPr>
                <w:b/>
                <w:bCs/>
                <w:color w:val="000000"/>
                <w:szCs w:val="22"/>
              </w:rPr>
              <w:t>2040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b/>
                <w:bCs/>
                <w:color w:val="000000"/>
                <w:szCs w:val="22"/>
              </w:rPr>
            </w:pPr>
            <w:r w:rsidRPr="00D962A2">
              <w:rPr>
                <w:b/>
                <w:bCs/>
                <w:color w:val="000000"/>
                <w:szCs w:val="22"/>
              </w:rPr>
              <w:t>Total</w:t>
            </w:r>
          </w:p>
        </w:tc>
      </w:tr>
      <w:tr w:rsidR="00C3525E" w:rsidRPr="00D962A2" w:rsidTr="00C60137">
        <w:trPr>
          <w:trHeight w:val="372"/>
        </w:trPr>
        <w:tc>
          <w:tcPr>
            <w:tcW w:w="1941" w:type="pct"/>
            <w:tcBorders>
              <w:top w:val="nil"/>
              <w:left w:val="single" w:sz="8" w:space="0" w:color="auto"/>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rPr>
                <w:color w:val="000000"/>
                <w:szCs w:val="22"/>
              </w:rPr>
            </w:pPr>
            <w:r w:rsidRPr="00D962A2">
              <w:rPr>
                <w:color w:val="000000"/>
                <w:szCs w:val="22"/>
              </w:rPr>
              <w:t>Commercial Truck Operating Hours</w:t>
            </w:r>
          </w:p>
        </w:tc>
        <w:tc>
          <w:tcPr>
            <w:tcW w:w="488"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42,188</w:t>
            </w:r>
          </w:p>
        </w:tc>
        <w:tc>
          <w:tcPr>
            <w:tcW w:w="488"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58,916</w:t>
            </w:r>
          </w:p>
        </w:tc>
        <w:tc>
          <w:tcPr>
            <w:tcW w:w="488"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55,603</w:t>
            </w:r>
          </w:p>
        </w:tc>
        <w:tc>
          <w:tcPr>
            <w:tcW w:w="488"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51,141</w:t>
            </w:r>
          </w:p>
        </w:tc>
        <w:tc>
          <w:tcPr>
            <w:tcW w:w="488"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45,452</w:t>
            </w:r>
          </w:p>
        </w:tc>
        <w:tc>
          <w:tcPr>
            <w:tcW w:w="620" w:type="pct"/>
            <w:tcBorders>
              <w:top w:val="nil"/>
              <w:left w:val="nil"/>
              <w:bottom w:val="single" w:sz="8" w:space="0" w:color="auto"/>
              <w:right w:val="single" w:sz="8" w:space="0" w:color="auto"/>
            </w:tcBorders>
            <w:shd w:val="clear" w:color="auto" w:fill="auto"/>
            <w:noWrap/>
            <w:vAlign w:val="center"/>
            <w:hideMark/>
          </w:tcPr>
          <w:p w:rsidR="00C3525E" w:rsidRPr="00D962A2" w:rsidRDefault="00C3525E" w:rsidP="00B95D49">
            <w:pPr>
              <w:spacing w:line="240" w:lineRule="auto"/>
              <w:jc w:val="right"/>
              <w:rPr>
                <w:color w:val="000000"/>
                <w:szCs w:val="22"/>
              </w:rPr>
            </w:pPr>
            <w:r w:rsidRPr="00D962A2">
              <w:rPr>
                <w:color w:val="000000"/>
                <w:szCs w:val="22"/>
              </w:rPr>
              <w:t>1,041,597</w:t>
            </w:r>
          </w:p>
        </w:tc>
      </w:tr>
      <w:tr w:rsidR="00C3525E" w:rsidRPr="00D962A2" w:rsidTr="00C60137">
        <w:trPr>
          <w:trHeight w:val="178"/>
        </w:trPr>
        <w:tc>
          <w:tcPr>
            <w:tcW w:w="19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25E" w:rsidRPr="00D962A2" w:rsidRDefault="00C3525E" w:rsidP="00B95D49">
            <w:pPr>
              <w:spacing w:line="240" w:lineRule="auto"/>
              <w:rPr>
                <w:color w:val="000000"/>
                <w:szCs w:val="22"/>
              </w:rPr>
            </w:pPr>
            <w:r w:rsidRPr="00D962A2">
              <w:rPr>
                <w:color w:val="000000"/>
                <w:szCs w:val="22"/>
              </w:rPr>
              <w:t>Operating Savings ($M)</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3.2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4.6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4.5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4.2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3.8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b/>
                <w:bCs/>
                <w:color w:val="000000"/>
                <w:szCs w:val="22"/>
              </w:rPr>
            </w:pPr>
            <w:r w:rsidRPr="00D962A2">
              <w:rPr>
                <w:b/>
                <w:bCs/>
                <w:color w:val="000000"/>
                <w:szCs w:val="22"/>
              </w:rPr>
              <w:t xml:space="preserve">       83.6 </w:t>
            </w:r>
          </w:p>
        </w:tc>
      </w:tr>
      <w:tr w:rsidR="00C3525E" w:rsidRPr="00D962A2" w:rsidTr="00C60137">
        <w:trPr>
          <w:trHeight w:val="70"/>
        </w:trPr>
        <w:tc>
          <w:tcPr>
            <w:tcW w:w="1941" w:type="pct"/>
            <w:tcBorders>
              <w:top w:val="nil"/>
              <w:left w:val="single" w:sz="4" w:space="0" w:color="auto"/>
              <w:bottom w:val="single" w:sz="4" w:space="0" w:color="auto"/>
              <w:right w:val="single" w:sz="4" w:space="0" w:color="auto"/>
            </w:tcBorders>
            <w:shd w:val="clear" w:color="auto" w:fill="auto"/>
            <w:noWrap/>
            <w:vAlign w:val="center"/>
            <w:hideMark/>
          </w:tcPr>
          <w:p w:rsidR="00C3525E" w:rsidRPr="00D962A2" w:rsidRDefault="00C3525E" w:rsidP="00B95D49">
            <w:pPr>
              <w:spacing w:line="240" w:lineRule="auto"/>
              <w:rPr>
                <w:color w:val="000000"/>
                <w:szCs w:val="22"/>
              </w:rPr>
            </w:pPr>
            <w:r w:rsidRPr="00D962A2">
              <w:rPr>
                <w:color w:val="000000"/>
                <w:szCs w:val="22"/>
              </w:rPr>
              <w:t>Operating savings 7% Discount ($2016M)</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2.3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2.5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1.7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1.2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0.8 </w:t>
            </w:r>
          </w:p>
        </w:tc>
        <w:tc>
          <w:tcPr>
            <w:tcW w:w="620"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b/>
                <w:bCs/>
                <w:color w:val="000000"/>
                <w:szCs w:val="22"/>
              </w:rPr>
            </w:pPr>
            <w:r w:rsidRPr="00D962A2">
              <w:rPr>
                <w:b/>
                <w:bCs/>
                <w:color w:val="000000"/>
                <w:szCs w:val="22"/>
              </w:rPr>
              <w:t xml:space="preserve">       33.6 </w:t>
            </w:r>
          </w:p>
        </w:tc>
      </w:tr>
      <w:tr w:rsidR="00C3525E" w:rsidRPr="00D962A2" w:rsidTr="00C60137">
        <w:trPr>
          <w:trHeight w:val="288"/>
        </w:trPr>
        <w:tc>
          <w:tcPr>
            <w:tcW w:w="1941" w:type="pct"/>
            <w:tcBorders>
              <w:top w:val="nil"/>
              <w:left w:val="single" w:sz="4" w:space="0" w:color="auto"/>
              <w:bottom w:val="single" w:sz="4" w:space="0" w:color="auto"/>
              <w:right w:val="single" w:sz="4" w:space="0" w:color="auto"/>
            </w:tcBorders>
            <w:shd w:val="clear" w:color="auto" w:fill="auto"/>
            <w:noWrap/>
            <w:vAlign w:val="center"/>
            <w:hideMark/>
          </w:tcPr>
          <w:p w:rsidR="00C3525E" w:rsidRPr="00D962A2" w:rsidRDefault="00C3525E" w:rsidP="00B95D49">
            <w:pPr>
              <w:spacing w:line="240" w:lineRule="auto"/>
              <w:rPr>
                <w:color w:val="000000"/>
                <w:szCs w:val="22"/>
              </w:rPr>
            </w:pPr>
            <w:r w:rsidRPr="00D962A2">
              <w:rPr>
                <w:color w:val="000000"/>
                <w:szCs w:val="22"/>
              </w:rPr>
              <w:t>Operating savings 3% Discount ($2016M)</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2.8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3.5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2.9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2.4 </w:t>
            </w:r>
          </w:p>
        </w:tc>
        <w:tc>
          <w:tcPr>
            <w:tcW w:w="488"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color w:val="000000"/>
                <w:szCs w:val="22"/>
              </w:rPr>
            </w:pPr>
            <w:r w:rsidRPr="00D962A2">
              <w:rPr>
                <w:color w:val="000000"/>
                <w:szCs w:val="22"/>
              </w:rPr>
              <w:t xml:space="preserve">         1.9 </w:t>
            </w:r>
          </w:p>
        </w:tc>
        <w:tc>
          <w:tcPr>
            <w:tcW w:w="620" w:type="pct"/>
            <w:tcBorders>
              <w:top w:val="nil"/>
              <w:left w:val="nil"/>
              <w:bottom w:val="single" w:sz="4" w:space="0" w:color="auto"/>
              <w:right w:val="single" w:sz="4" w:space="0" w:color="auto"/>
            </w:tcBorders>
            <w:shd w:val="clear" w:color="auto" w:fill="auto"/>
            <w:noWrap/>
            <w:vAlign w:val="bottom"/>
            <w:hideMark/>
          </w:tcPr>
          <w:p w:rsidR="00C3525E" w:rsidRPr="00D962A2" w:rsidRDefault="00C3525E" w:rsidP="00B95D49">
            <w:pPr>
              <w:spacing w:line="240" w:lineRule="auto"/>
              <w:rPr>
                <w:b/>
                <w:bCs/>
                <w:color w:val="000000"/>
                <w:szCs w:val="22"/>
              </w:rPr>
            </w:pPr>
            <w:r w:rsidRPr="00D962A2">
              <w:rPr>
                <w:b/>
                <w:bCs/>
                <w:color w:val="000000"/>
                <w:szCs w:val="22"/>
              </w:rPr>
              <w:t xml:space="preserve">       55.2 </w:t>
            </w:r>
          </w:p>
        </w:tc>
      </w:tr>
    </w:tbl>
    <w:p w:rsidR="00C3525E" w:rsidRDefault="00C3525E" w:rsidP="00C3525E">
      <w:pPr>
        <w:pStyle w:val="BodyText"/>
        <w:rPr>
          <w:sz w:val="18"/>
          <w:szCs w:val="18"/>
        </w:rPr>
      </w:pPr>
      <w:r w:rsidRPr="00323D5D">
        <w:rPr>
          <w:sz w:val="18"/>
          <w:szCs w:val="18"/>
        </w:rPr>
        <w:t xml:space="preserve">Source: Muller, AECOM </w:t>
      </w:r>
    </w:p>
    <w:p w:rsidR="00C3525E" w:rsidRPr="00323D5D" w:rsidRDefault="00C3525E" w:rsidP="00C3525E">
      <w:pPr>
        <w:pStyle w:val="Heading4"/>
        <w:rPr>
          <w:rFonts w:ascii="Times New Roman" w:hAnsi="Times New Roman"/>
        </w:rPr>
      </w:pPr>
      <w:bookmarkStart w:id="176" w:name="_Toc448780363"/>
      <w:r w:rsidRPr="00323D5D">
        <w:rPr>
          <w:rFonts w:ascii="Times New Roman" w:hAnsi="Times New Roman"/>
        </w:rPr>
        <w:t>Freight Inventory Savings</w:t>
      </w:r>
      <w:bookmarkEnd w:id="176"/>
    </w:p>
    <w:p w:rsidR="00C3525E" w:rsidRPr="00323D5D" w:rsidRDefault="00C3525E" w:rsidP="00C3525E">
      <w:pPr>
        <w:jc w:val="both"/>
        <w:rPr>
          <w:color w:val="000000"/>
          <w:szCs w:val="22"/>
        </w:rPr>
      </w:pPr>
      <w:r w:rsidRPr="00323D5D">
        <w:t xml:space="preserve">Freight inventory savings were calculated using the annual operating hours avoided through the implementation of the </w:t>
      </w:r>
      <w:r>
        <w:t>I-25 Project</w:t>
      </w:r>
      <w:r w:rsidRPr="00323D5D">
        <w:t xml:space="preserve"> as compared to the baseline scenario which were applied to the per hour value of freight each truck is hauling  and then multiplied by the h</w:t>
      </w:r>
      <w:r w:rsidRPr="00323D5D">
        <w:rPr>
          <w:color w:val="000000"/>
          <w:szCs w:val="22"/>
        </w:rPr>
        <w:t>ourly commercial discount rate, as derived from 4% per annum.</w:t>
      </w:r>
    </w:p>
    <w:p w:rsidR="00C3525E" w:rsidRPr="00323D5D" w:rsidRDefault="00C3525E" w:rsidP="00C3525E">
      <w:pPr>
        <w:jc w:val="both"/>
        <w:rPr>
          <w:color w:val="000000"/>
          <w:szCs w:val="22"/>
        </w:rPr>
      </w:pPr>
      <w:r>
        <w:rPr>
          <w:color w:val="000000"/>
          <w:szCs w:val="22"/>
        </w:rPr>
        <w:t>As shown in Table 38, t</w:t>
      </w:r>
      <w:r w:rsidRPr="00323D5D">
        <w:rPr>
          <w:color w:val="000000"/>
          <w:szCs w:val="22"/>
        </w:rPr>
        <w:t>he benefits from freight inventory savings total $0.04 million at a 7% discount rate and $0.07 million at a discount rate of 3%.</w:t>
      </w:r>
    </w:p>
    <w:p w:rsidR="00C3525E" w:rsidRPr="00323D5D" w:rsidRDefault="00C3525E" w:rsidP="00C3525E">
      <w:pPr>
        <w:jc w:val="both"/>
        <w:rPr>
          <w:color w:val="000000"/>
          <w:szCs w:val="22"/>
        </w:rPr>
      </w:pPr>
    </w:p>
    <w:p w:rsidR="00C3525E" w:rsidRPr="00323D5D" w:rsidRDefault="00C3525E" w:rsidP="00C3525E">
      <w:pPr>
        <w:pStyle w:val="BodyText"/>
        <w:spacing w:after="0"/>
        <w:jc w:val="center"/>
        <w:rPr>
          <w:b/>
          <w:sz w:val="18"/>
          <w:szCs w:val="18"/>
        </w:rPr>
      </w:pPr>
      <w:r w:rsidRPr="00323D5D">
        <w:rPr>
          <w:b/>
          <w:sz w:val="18"/>
          <w:szCs w:val="18"/>
        </w:rPr>
        <w:t xml:space="preserve">Table </w:t>
      </w:r>
      <w:r>
        <w:rPr>
          <w:b/>
          <w:sz w:val="18"/>
          <w:szCs w:val="18"/>
        </w:rPr>
        <w:t>38</w:t>
      </w:r>
      <w:r w:rsidRPr="00323D5D">
        <w:rPr>
          <w:b/>
          <w:sz w:val="18"/>
          <w:szCs w:val="18"/>
        </w:rPr>
        <w:t>: Freight Inventory Savings (2021-2040)</w:t>
      </w:r>
    </w:p>
    <w:tbl>
      <w:tblPr>
        <w:tblW w:w="5000" w:type="pct"/>
        <w:tblLook w:val="04A0" w:firstRow="1" w:lastRow="0" w:firstColumn="1" w:lastColumn="0" w:noHBand="0" w:noVBand="1"/>
      </w:tblPr>
      <w:tblGrid>
        <w:gridCol w:w="3929"/>
        <w:gridCol w:w="985"/>
        <w:gridCol w:w="986"/>
        <w:gridCol w:w="986"/>
        <w:gridCol w:w="986"/>
        <w:gridCol w:w="986"/>
        <w:gridCol w:w="718"/>
      </w:tblGrid>
      <w:tr w:rsidR="00C3525E" w:rsidRPr="00323D5D" w:rsidTr="00B95D49">
        <w:trPr>
          <w:trHeight w:val="288"/>
        </w:trPr>
        <w:tc>
          <w:tcPr>
            <w:tcW w:w="2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jc w:val="right"/>
              <w:rPr>
                <w:b/>
                <w:bCs/>
                <w:color w:val="000000"/>
                <w:szCs w:val="22"/>
              </w:rPr>
            </w:pPr>
            <w:r w:rsidRPr="00323D5D">
              <w:rPr>
                <w:b/>
                <w:bCs/>
                <w:color w:val="000000"/>
                <w:szCs w:val="22"/>
              </w:rPr>
              <w:t>2021</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jc w:val="right"/>
              <w:rPr>
                <w:b/>
                <w:bCs/>
                <w:color w:val="000000"/>
                <w:szCs w:val="22"/>
              </w:rPr>
            </w:pPr>
            <w:r w:rsidRPr="00323D5D">
              <w:rPr>
                <w:b/>
                <w:bCs/>
                <w:color w:val="000000"/>
                <w:szCs w:val="22"/>
              </w:rPr>
              <w:t>2025</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jc w:val="right"/>
              <w:rPr>
                <w:b/>
                <w:bCs/>
                <w:color w:val="000000"/>
                <w:szCs w:val="22"/>
              </w:rPr>
            </w:pPr>
            <w:r w:rsidRPr="00323D5D">
              <w:rPr>
                <w:b/>
                <w:bCs/>
                <w:color w:val="000000"/>
                <w:szCs w:val="22"/>
              </w:rPr>
              <w:t>2030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jc w:val="right"/>
              <w:rPr>
                <w:b/>
                <w:bCs/>
                <w:color w:val="000000"/>
                <w:szCs w:val="22"/>
              </w:rPr>
            </w:pPr>
            <w:r w:rsidRPr="00323D5D">
              <w:rPr>
                <w:b/>
                <w:bCs/>
                <w:color w:val="000000"/>
                <w:szCs w:val="22"/>
              </w:rPr>
              <w:t>2035</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jc w:val="right"/>
              <w:rPr>
                <w:b/>
                <w:bCs/>
                <w:color w:val="000000"/>
                <w:szCs w:val="22"/>
              </w:rPr>
            </w:pPr>
            <w:r w:rsidRPr="00323D5D">
              <w:rPr>
                <w:b/>
                <w:bCs/>
                <w:color w:val="000000"/>
                <w:szCs w:val="22"/>
              </w:rPr>
              <w:t>2040</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b/>
                <w:bCs/>
                <w:color w:val="000000"/>
                <w:szCs w:val="22"/>
              </w:rPr>
            </w:pPr>
            <w:r w:rsidRPr="00323D5D">
              <w:rPr>
                <w:b/>
                <w:bCs/>
                <w:color w:val="000000"/>
                <w:szCs w:val="22"/>
              </w:rPr>
              <w:t>Total</w:t>
            </w:r>
          </w:p>
        </w:tc>
      </w:tr>
      <w:tr w:rsidR="00C3525E" w:rsidRPr="00323D5D" w:rsidTr="00B95D49">
        <w:trPr>
          <w:trHeight w:val="260"/>
        </w:trPr>
        <w:tc>
          <w:tcPr>
            <w:tcW w:w="2085" w:type="pct"/>
            <w:tcBorders>
              <w:top w:val="nil"/>
              <w:left w:val="single" w:sz="4" w:space="0" w:color="auto"/>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Inventory Savings ($M)</w:t>
            </w:r>
          </w:p>
        </w:tc>
        <w:tc>
          <w:tcPr>
            <w:tcW w:w="509" w:type="pct"/>
            <w:tcBorders>
              <w:top w:val="nil"/>
              <w:left w:val="nil"/>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 xml:space="preserve">     0.004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0.006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0.006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0.005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0.005 </w:t>
            </w:r>
          </w:p>
        </w:tc>
        <w:tc>
          <w:tcPr>
            <w:tcW w:w="371"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b/>
                <w:bCs/>
                <w:color w:val="000000"/>
                <w:szCs w:val="22"/>
              </w:rPr>
            </w:pPr>
            <w:r w:rsidRPr="00323D5D">
              <w:rPr>
                <w:b/>
                <w:bCs/>
                <w:color w:val="000000"/>
                <w:szCs w:val="22"/>
              </w:rPr>
              <w:t xml:space="preserve"> 0.11 </w:t>
            </w:r>
          </w:p>
        </w:tc>
      </w:tr>
      <w:tr w:rsidR="00C3525E" w:rsidRPr="00323D5D" w:rsidTr="00B95D49">
        <w:trPr>
          <w:trHeight w:val="278"/>
        </w:trPr>
        <w:tc>
          <w:tcPr>
            <w:tcW w:w="2085" w:type="pct"/>
            <w:tcBorders>
              <w:top w:val="nil"/>
              <w:left w:val="single" w:sz="4" w:space="0" w:color="auto"/>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Inventory savings 7% Discount ($2016M)</w:t>
            </w:r>
          </w:p>
        </w:tc>
        <w:tc>
          <w:tcPr>
            <w:tcW w:w="509" w:type="pct"/>
            <w:tcBorders>
              <w:top w:val="nil"/>
              <w:left w:val="nil"/>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 xml:space="preserve">     0.003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0.003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0.002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0.001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0.001 </w:t>
            </w:r>
          </w:p>
        </w:tc>
        <w:tc>
          <w:tcPr>
            <w:tcW w:w="371"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b/>
                <w:bCs/>
                <w:color w:val="000000"/>
                <w:szCs w:val="22"/>
              </w:rPr>
            </w:pPr>
            <w:r w:rsidRPr="00323D5D">
              <w:rPr>
                <w:b/>
                <w:bCs/>
                <w:color w:val="000000"/>
                <w:szCs w:val="22"/>
              </w:rPr>
              <w:t xml:space="preserve"> 0.04 </w:t>
            </w:r>
          </w:p>
        </w:tc>
      </w:tr>
      <w:tr w:rsidR="00C3525E" w:rsidRPr="00323D5D" w:rsidTr="00B95D49">
        <w:trPr>
          <w:trHeight w:val="288"/>
        </w:trPr>
        <w:tc>
          <w:tcPr>
            <w:tcW w:w="2085" w:type="pct"/>
            <w:tcBorders>
              <w:top w:val="nil"/>
              <w:left w:val="single" w:sz="4" w:space="0" w:color="auto"/>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Inventory savings 3% Discount ($2016M)</w:t>
            </w:r>
          </w:p>
        </w:tc>
        <w:tc>
          <w:tcPr>
            <w:tcW w:w="509" w:type="pct"/>
            <w:tcBorders>
              <w:top w:val="nil"/>
              <w:left w:val="nil"/>
              <w:bottom w:val="single" w:sz="4" w:space="0" w:color="auto"/>
              <w:right w:val="single" w:sz="4" w:space="0" w:color="auto"/>
            </w:tcBorders>
            <w:shd w:val="clear" w:color="auto" w:fill="auto"/>
            <w:noWrap/>
            <w:vAlign w:val="center"/>
            <w:hideMark/>
          </w:tcPr>
          <w:p w:rsidR="00C3525E" w:rsidRPr="00323D5D" w:rsidRDefault="00C3525E" w:rsidP="00B95D49">
            <w:pPr>
              <w:spacing w:line="240" w:lineRule="auto"/>
              <w:rPr>
                <w:color w:val="000000"/>
                <w:szCs w:val="22"/>
              </w:rPr>
            </w:pPr>
            <w:r w:rsidRPr="00323D5D">
              <w:rPr>
                <w:color w:val="000000"/>
                <w:szCs w:val="22"/>
              </w:rPr>
              <w:t xml:space="preserve">     0.004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0.005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0.004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0.003 </w:t>
            </w:r>
          </w:p>
        </w:tc>
        <w:tc>
          <w:tcPr>
            <w:tcW w:w="509"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color w:val="000000"/>
                <w:szCs w:val="22"/>
              </w:rPr>
            </w:pPr>
            <w:r w:rsidRPr="00323D5D">
              <w:rPr>
                <w:color w:val="000000"/>
                <w:szCs w:val="22"/>
              </w:rPr>
              <w:t xml:space="preserve">     0.002 </w:t>
            </w:r>
          </w:p>
        </w:tc>
        <w:tc>
          <w:tcPr>
            <w:tcW w:w="371" w:type="pct"/>
            <w:tcBorders>
              <w:top w:val="nil"/>
              <w:left w:val="nil"/>
              <w:bottom w:val="single" w:sz="4" w:space="0" w:color="auto"/>
              <w:right w:val="single" w:sz="4" w:space="0" w:color="auto"/>
            </w:tcBorders>
            <w:shd w:val="clear" w:color="auto" w:fill="auto"/>
            <w:noWrap/>
            <w:vAlign w:val="bottom"/>
            <w:hideMark/>
          </w:tcPr>
          <w:p w:rsidR="00C3525E" w:rsidRPr="00323D5D" w:rsidRDefault="00C3525E" w:rsidP="00B95D49">
            <w:pPr>
              <w:spacing w:line="240" w:lineRule="auto"/>
              <w:rPr>
                <w:b/>
                <w:bCs/>
                <w:color w:val="000000"/>
                <w:szCs w:val="22"/>
              </w:rPr>
            </w:pPr>
            <w:r w:rsidRPr="00323D5D">
              <w:rPr>
                <w:b/>
                <w:bCs/>
                <w:color w:val="000000"/>
                <w:szCs w:val="22"/>
              </w:rPr>
              <w:t xml:space="preserve"> 0.07 </w:t>
            </w:r>
          </w:p>
        </w:tc>
      </w:tr>
    </w:tbl>
    <w:p w:rsidR="00C3525E" w:rsidRPr="00323D5D" w:rsidRDefault="00C3525E" w:rsidP="00C3525E">
      <w:pPr>
        <w:pStyle w:val="BodyText"/>
        <w:rPr>
          <w:sz w:val="18"/>
          <w:szCs w:val="18"/>
        </w:rPr>
      </w:pPr>
      <w:r w:rsidRPr="00323D5D">
        <w:rPr>
          <w:sz w:val="18"/>
          <w:szCs w:val="18"/>
        </w:rPr>
        <w:t xml:space="preserve">Source: Muller, AECOM </w:t>
      </w:r>
    </w:p>
    <w:p w:rsidR="008E5223" w:rsidRPr="00323D5D" w:rsidRDefault="008E5223" w:rsidP="008E5223">
      <w:pPr>
        <w:pStyle w:val="Heading4"/>
        <w:rPr>
          <w:rFonts w:ascii="Times New Roman" w:hAnsi="Times New Roman"/>
        </w:rPr>
      </w:pPr>
      <w:bookmarkStart w:id="177" w:name="_Toc448780364"/>
      <w:r w:rsidRPr="00323D5D">
        <w:rPr>
          <w:rFonts w:ascii="Times New Roman" w:hAnsi="Times New Roman"/>
        </w:rPr>
        <w:t>Bus Operating Savings</w:t>
      </w:r>
      <w:bookmarkEnd w:id="177"/>
      <w:r w:rsidRPr="00323D5D">
        <w:rPr>
          <w:rFonts w:ascii="Times New Roman" w:hAnsi="Times New Roman"/>
        </w:rPr>
        <w:t xml:space="preserve"> </w:t>
      </w:r>
    </w:p>
    <w:p w:rsidR="008E5223" w:rsidRPr="00323D5D" w:rsidRDefault="008E5223" w:rsidP="008E5223">
      <w:pPr>
        <w:pStyle w:val="BodyText"/>
      </w:pPr>
      <w:r w:rsidRPr="00323D5D">
        <w:t xml:space="preserve">Bus operating savings were calculated using the annual operating hours avoided through the implementation of the </w:t>
      </w:r>
      <w:r w:rsidR="003B3E40">
        <w:t>I-25 Project</w:t>
      </w:r>
      <w:r w:rsidRPr="00323D5D">
        <w:t xml:space="preserve"> as compared to the baseline scenario.  This quantum of operating hours is then applied to the CDOT’s hourly operating cost per bus. The benefit of bus operating savings is valued at $0.</w:t>
      </w:r>
      <w:r w:rsidR="0010593E">
        <w:t>9</w:t>
      </w:r>
      <w:r w:rsidR="00D962A2" w:rsidRPr="00323D5D">
        <w:t xml:space="preserve"> </w:t>
      </w:r>
      <w:r w:rsidRPr="00323D5D">
        <w:t>million at a discount rate of 7% and $</w:t>
      </w:r>
      <w:r w:rsidR="0010593E">
        <w:t>1.5</w:t>
      </w:r>
      <w:r w:rsidRPr="00323D5D">
        <w:t xml:space="preserve"> million at a discount of 3%</w:t>
      </w:r>
    </w:p>
    <w:p w:rsidR="008E5223" w:rsidRDefault="008E5223" w:rsidP="008E5223">
      <w:pPr>
        <w:pStyle w:val="BodyText"/>
      </w:pPr>
      <w:r w:rsidRPr="00323D5D">
        <w:t xml:space="preserve">An overview of the reduction of </w:t>
      </w:r>
      <w:proofErr w:type="spellStart"/>
      <w:r w:rsidRPr="00323D5D">
        <w:t>Bustang</w:t>
      </w:r>
      <w:proofErr w:type="spellEnd"/>
      <w:r w:rsidRPr="00323D5D">
        <w:t xml:space="preserve"> operating hours and associated operating savings is shown in </w:t>
      </w:r>
      <w:r w:rsidRPr="0010593E">
        <w:t xml:space="preserve">Table </w:t>
      </w:r>
      <w:r w:rsidR="00D962A2" w:rsidRPr="0010593E">
        <w:t>3</w:t>
      </w:r>
      <w:r w:rsidR="00C3525E" w:rsidRPr="0010593E">
        <w:t>9</w:t>
      </w:r>
      <w:r w:rsidRPr="0010593E">
        <w:t>.</w:t>
      </w:r>
    </w:p>
    <w:p w:rsidR="008E5223" w:rsidRPr="0010593E" w:rsidRDefault="008E5223" w:rsidP="008E5223">
      <w:pPr>
        <w:pStyle w:val="BodyText"/>
        <w:spacing w:after="0"/>
        <w:jc w:val="center"/>
        <w:rPr>
          <w:b/>
          <w:sz w:val="18"/>
          <w:szCs w:val="18"/>
        </w:rPr>
      </w:pPr>
      <w:r w:rsidRPr="0010593E">
        <w:rPr>
          <w:b/>
          <w:sz w:val="18"/>
          <w:szCs w:val="18"/>
        </w:rPr>
        <w:t xml:space="preserve">Table </w:t>
      </w:r>
      <w:r w:rsidR="00D962A2" w:rsidRPr="0010593E">
        <w:rPr>
          <w:b/>
          <w:sz w:val="18"/>
          <w:szCs w:val="18"/>
        </w:rPr>
        <w:t>3</w:t>
      </w:r>
      <w:r w:rsidR="00C3525E" w:rsidRPr="0010593E">
        <w:rPr>
          <w:b/>
          <w:sz w:val="18"/>
          <w:szCs w:val="18"/>
        </w:rPr>
        <w:t>9</w:t>
      </w:r>
      <w:r w:rsidRPr="0010593E">
        <w:rPr>
          <w:b/>
          <w:sz w:val="18"/>
          <w:szCs w:val="18"/>
        </w:rPr>
        <w:t xml:space="preserve">: </w:t>
      </w:r>
      <w:proofErr w:type="spellStart"/>
      <w:r w:rsidRPr="0010593E">
        <w:rPr>
          <w:b/>
          <w:sz w:val="18"/>
          <w:szCs w:val="18"/>
        </w:rPr>
        <w:t>Bustang</w:t>
      </w:r>
      <w:proofErr w:type="spellEnd"/>
      <w:r w:rsidRPr="0010593E">
        <w:rPr>
          <w:b/>
          <w:sz w:val="18"/>
          <w:szCs w:val="18"/>
        </w:rPr>
        <w:t xml:space="preserve"> Express Bus Operating Savings (2021-2040)</w:t>
      </w:r>
    </w:p>
    <w:tbl>
      <w:tblPr>
        <w:tblW w:w="5000" w:type="pct"/>
        <w:tblLook w:val="04A0" w:firstRow="1" w:lastRow="0" w:firstColumn="1" w:lastColumn="0" w:noHBand="0" w:noVBand="1"/>
      </w:tblPr>
      <w:tblGrid>
        <w:gridCol w:w="3956"/>
        <w:gridCol w:w="1409"/>
        <w:gridCol w:w="847"/>
        <w:gridCol w:w="847"/>
        <w:gridCol w:w="848"/>
        <w:gridCol w:w="848"/>
        <w:gridCol w:w="821"/>
      </w:tblGrid>
      <w:tr w:rsidR="00D962A2" w:rsidRPr="0010593E" w:rsidTr="0010593E">
        <w:trPr>
          <w:trHeight w:val="288"/>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rPr>
                <w:color w:val="000000"/>
                <w:szCs w:val="22"/>
              </w:rPr>
            </w:pPr>
            <w:r w:rsidRPr="0010593E">
              <w:rPr>
                <w:color w:val="000000"/>
                <w:szCs w:val="22"/>
              </w:rPr>
              <w:t> </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jc w:val="right"/>
              <w:rPr>
                <w:b/>
                <w:bCs/>
                <w:color w:val="000000"/>
                <w:szCs w:val="22"/>
              </w:rPr>
            </w:pPr>
            <w:r w:rsidRPr="0010593E">
              <w:rPr>
                <w:b/>
                <w:bCs/>
                <w:color w:val="000000"/>
                <w:szCs w:val="22"/>
              </w:rPr>
              <w:t>2021</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jc w:val="right"/>
              <w:rPr>
                <w:b/>
                <w:bCs/>
                <w:color w:val="000000"/>
                <w:szCs w:val="22"/>
              </w:rPr>
            </w:pPr>
            <w:r w:rsidRPr="0010593E">
              <w:rPr>
                <w:b/>
                <w:bCs/>
                <w:color w:val="000000"/>
                <w:szCs w:val="22"/>
              </w:rPr>
              <w:t>2025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jc w:val="right"/>
              <w:rPr>
                <w:b/>
                <w:bCs/>
                <w:color w:val="000000"/>
                <w:szCs w:val="22"/>
              </w:rPr>
            </w:pPr>
            <w:r w:rsidRPr="0010593E">
              <w:rPr>
                <w:b/>
                <w:bCs/>
                <w:color w:val="000000"/>
                <w:szCs w:val="22"/>
              </w:rPr>
              <w:t>2030</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jc w:val="right"/>
              <w:rPr>
                <w:b/>
                <w:bCs/>
                <w:color w:val="000000"/>
                <w:szCs w:val="22"/>
              </w:rPr>
            </w:pPr>
            <w:r w:rsidRPr="0010593E">
              <w:rPr>
                <w:b/>
                <w:bCs/>
                <w:color w:val="000000"/>
                <w:szCs w:val="22"/>
              </w:rPr>
              <w:t>2035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jc w:val="right"/>
              <w:rPr>
                <w:b/>
                <w:bCs/>
                <w:color w:val="000000"/>
                <w:szCs w:val="22"/>
              </w:rPr>
            </w:pPr>
            <w:r w:rsidRPr="0010593E">
              <w:rPr>
                <w:b/>
                <w:bCs/>
                <w:color w:val="000000"/>
                <w:szCs w:val="22"/>
              </w:rPr>
              <w:t>2040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D962A2" w:rsidRPr="0010593E" w:rsidRDefault="00D962A2" w:rsidP="00D962A2">
            <w:pPr>
              <w:spacing w:line="240" w:lineRule="auto"/>
              <w:rPr>
                <w:b/>
                <w:bCs/>
                <w:color w:val="000000"/>
                <w:szCs w:val="22"/>
              </w:rPr>
            </w:pPr>
            <w:r w:rsidRPr="0010593E">
              <w:rPr>
                <w:b/>
                <w:bCs/>
                <w:color w:val="000000"/>
                <w:szCs w:val="22"/>
              </w:rPr>
              <w:t>Total</w:t>
            </w:r>
          </w:p>
        </w:tc>
      </w:tr>
      <w:tr w:rsidR="0010593E" w:rsidRPr="0010593E" w:rsidTr="0010593E">
        <w:trPr>
          <w:trHeight w:val="288"/>
        </w:trPr>
        <w:tc>
          <w:tcPr>
            <w:tcW w:w="1809" w:type="pct"/>
            <w:tcBorders>
              <w:top w:val="nil"/>
              <w:left w:val="single" w:sz="4" w:space="0" w:color="auto"/>
              <w:bottom w:val="single" w:sz="4" w:space="0" w:color="auto"/>
              <w:right w:val="single" w:sz="4" w:space="0" w:color="auto"/>
            </w:tcBorders>
            <w:shd w:val="clear" w:color="auto" w:fill="auto"/>
            <w:noWrap/>
            <w:vAlign w:val="bottom"/>
            <w:hideMark/>
          </w:tcPr>
          <w:p w:rsidR="0010593E" w:rsidRPr="0010593E" w:rsidRDefault="0010593E" w:rsidP="00D962A2">
            <w:pPr>
              <w:spacing w:line="240" w:lineRule="auto"/>
              <w:rPr>
                <w:color w:val="000000"/>
                <w:szCs w:val="22"/>
              </w:rPr>
            </w:pPr>
            <w:r w:rsidRPr="0010593E">
              <w:rPr>
                <w:color w:val="000000"/>
                <w:szCs w:val="22"/>
              </w:rPr>
              <w:t>Total Operating Hours Avoided</w:t>
            </w:r>
          </w:p>
        </w:tc>
        <w:tc>
          <w:tcPr>
            <w:tcW w:w="78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665</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692</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715</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731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746</w:t>
            </w:r>
          </w:p>
        </w:tc>
        <w:tc>
          <w:tcPr>
            <w:tcW w:w="46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14,252</w:t>
            </w:r>
          </w:p>
        </w:tc>
      </w:tr>
      <w:tr w:rsidR="0010593E" w:rsidRPr="0010593E" w:rsidTr="0010593E">
        <w:trPr>
          <w:trHeight w:val="288"/>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D962A2">
            <w:pPr>
              <w:spacing w:line="240" w:lineRule="auto"/>
              <w:rPr>
                <w:color w:val="000000"/>
                <w:szCs w:val="22"/>
              </w:rPr>
            </w:pPr>
            <w:r w:rsidRPr="0010593E">
              <w:rPr>
                <w:color w:val="000000"/>
                <w:szCs w:val="22"/>
              </w:rPr>
              <w:t>Operating Savings ($M)</w:t>
            </w:r>
          </w:p>
        </w:tc>
        <w:tc>
          <w:tcPr>
            <w:tcW w:w="78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6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2.3</w:t>
            </w:r>
          </w:p>
        </w:tc>
      </w:tr>
      <w:tr w:rsidR="0010593E" w:rsidRPr="0010593E" w:rsidTr="0010593E">
        <w:trPr>
          <w:trHeight w:val="288"/>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D962A2">
            <w:pPr>
              <w:spacing w:line="240" w:lineRule="auto"/>
              <w:rPr>
                <w:color w:val="000000"/>
                <w:szCs w:val="22"/>
              </w:rPr>
            </w:pPr>
            <w:r w:rsidRPr="0010593E">
              <w:rPr>
                <w:color w:val="000000"/>
                <w:szCs w:val="22"/>
              </w:rPr>
              <w:t>Operating savings 7% Discount ($2016M)</w:t>
            </w:r>
          </w:p>
        </w:tc>
        <w:tc>
          <w:tcPr>
            <w:tcW w:w="78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w:t>
            </w:r>
          </w:p>
        </w:tc>
        <w:tc>
          <w:tcPr>
            <w:tcW w:w="46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0.9</w:t>
            </w:r>
          </w:p>
        </w:tc>
      </w:tr>
      <w:tr w:rsidR="0010593E" w:rsidRPr="00D962A2" w:rsidTr="0010593E">
        <w:trPr>
          <w:trHeight w:val="288"/>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rsidR="0010593E" w:rsidRPr="0010593E" w:rsidRDefault="0010593E" w:rsidP="00D962A2">
            <w:pPr>
              <w:spacing w:line="240" w:lineRule="auto"/>
              <w:rPr>
                <w:color w:val="000000"/>
                <w:szCs w:val="22"/>
              </w:rPr>
            </w:pPr>
            <w:r w:rsidRPr="0010593E">
              <w:rPr>
                <w:color w:val="000000"/>
                <w:szCs w:val="22"/>
              </w:rPr>
              <w:t>Operating savings 3% Discount ($2016M)</w:t>
            </w:r>
          </w:p>
        </w:tc>
        <w:tc>
          <w:tcPr>
            <w:tcW w:w="781"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87"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62"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1.5</w:t>
            </w:r>
          </w:p>
        </w:tc>
      </w:tr>
    </w:tbl>
    <w:p w:rsidR="008E5223" w:rsidRPr="00323D5D" w:rsidRDefault="008E5223" w:rsidP="008E5223">
      <w:pPr>
        <w:pStyle w:val="BodyText"/>
        <w:rPr>
          <w:sz w:val="18"/>
          <w:szCs w:val="18"/>
        </w:rPr>
      </w:pPr>
      <w:r w:rsidRPr="00323D5D">
        <w:rPr>
          <w:sz w:val="18"/>
          <w:szCs w:val="18"/>
        </w:rPr>
        <w:t>Source: AECOM, CDOT</w:t>
      </w:r>
    </w:p>
    <w:p w:rsidR="008E5223" w:rsidRDefault="008E5223" w:rsidP="00197821">
      <w:pPr>
        <w:pStyle w:val="Heading3"/>
        <w:rPr>
          <w:rFonts w:ascii="Times New Roman" w:hAnsi="Times New Roman" w:cs="Times New Roman"/>
        </w:rPr>
      </w:pPr>
      <w:bookmarkStart w:id="178" w:name="_Toc448780365"/>
      <w:r w:rsidRPr="00323D5D">
        <w:rPr>
          <w:rFonts w:ascii="Times New Roman" w:hAnsi="Times New Roman" w:cs="Times New Roman"/>
        </w:rPr>
        <w:lastRenderedPageBreak/>
        <w:t>Safety</w:t>
      </w:r>
      <w:bookmarkEnd w:id="178"/>
      <w:r w:rsidRPr="00323D5D">
        <w:rPr>
          <w:rFonts w:ascii="Times New Roman" w:hAnsi="Times New Roman" w:cs="Times New Roman"/>
        </w:rPr>
        <w:t xml:space="preserve"> </w:t>
      </w:r>
    </w:p>
    <w:tbl>
      <w:tblPr>
        <w:tblW w:w="5000" w:type="pct"/>
        <w:tblLook w:val="04A0" w:firstRow="1" w:lastRow="0" w:firstColumn="1" w:lastColumn="0" w:noHBand="0" w:noVBand="1"/>
      </w:tblPr>
      <w:tblGrid>
        <w:gridCol w:w="5354"/>
        <w:gridCol w:w="2111"/>
        <w:gridCol w:w="2111"/>
      </w:tblGrid>
      <w:tr w:rsidR="002865F6" w:rsidRPr="002865F6" w:rsidTr="002865F6">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auto"/>
            <w:noWrap/>
            <w:vAlign w:val="bottom"/>
            <w:hideMark/>
          </w:tcPr>
          <w:p w:rsidR="002865F6" w:rsidRPr="002865F6" w:rsidRDefault="002865F6" w:rsidP="002865F6">
            <w:pPr>
              <w:spacing w:line="240" w:lineRule="auto"/>
              <w:jc w:val="center"/>
              <w:rPr>
                <w:b/>
                <w:color w:val="000000"/>
                <w:szCs w:val="22"/>
              </w:rPr>
            </w:pPr>
            <w:r w:rsidRPr="002865F6">
              <w:rPr>
                <w:b/>
                <w:color w:val="000000"/>
                <w:szCs w:val="22"/>
              </w:rPr>
              <w:t>Safety Benefits Summary</w:t>
            </w:r>
          </w:p>
        </w:tc>
      </w:tr>
      <w:tr w:rsidR="002865F6" w:rsidRPr="002865F6" w:rsidTr="002865F6">
        <w:trPr>
          <w:trHeight w:val="288"/>
        </w:trPr>
        <w:tc>
          <w:tcPr>
            <w:tcW w:w="3076" w:type="pct"/>
            <w:tcBorders>
              <w:top w:val="nil"/>
              <w:left w:val="single" w:sz="4" w:space="0" w:color="auto"/>
              <w:bottom w:val="single" w:sz="4" w:space="0" w:color="auto"/>
              <w:right w:val="single" w:sz="4" w:space="0" w:color="auto"/>
            </w:tcBorders>
            <w:shd w:val="clear" w:color="auto" w:fill="auto"/>
            <w:noWrap/>
            <w:vAlign w:val="bottom"/>
          </w:tcPr>
          <w:p w:rsidR="002865F6" w:rsidRPr="002865F6" w:rsidRDefault="002865F6" w:rsidP="002865F6">
            <w:pPr>
              <w:spacing w:line="240" w:lineRule="auto"/>
              <w:rPr>
                <w:color w:val="000000"/>
                <w:szCs w:val="22"/>
              </w:rPr>
            </w:pPr>
          </w:p>
        </w:tc>
        <w:tc>
          <w:tcPr>
            <w:tcW w:w="962" w:type="pct"/>
            <w:tcBorders>
              <w:top w:val="nil"/>
              <w:left w:val="nil"/>
              <w:bottom w:val="single" w:sz="4" w:space="0" w:color="auto"/>
              <w:right w:val="single" w:sz="4" w:space="0" w:color="auto"/>
            </w:tcBorders>
            <w:shd w:val="clear" w:color="auto" w:fill="auto"/>
            <w:noWrap/>
            <w:vAlign w:val="bottom"/>
          </w:tcPr>
          <w:p w:rsidR="002865F6" w:rsidRPr="002865F6" w:rsidRDefault="002865F6" w:rsidP="002865F6">
            <w:pPr>
              <w:spacing w:line="240" w:lineRule="auto"/>
              <w:jc w:val="center"/>
              <w:rPr>
                <w:color w:val="000000"/>
                <w:szCs w:val="22"/>
              </w:rPr>
            </w:pPr>
            <w:r w:rsidRPr="002865F6">
              <w:rPr>
                <w:color w:val="000000"/>
                <w:szCs w:val="22"/>
              </w:rPr>
              <w:t>7% Discount ($2016)</w:t>
            </w:r>
          </w:p>
        </w:tc>
        <w:tc>
          <w:tcPr>
            <w:tcW w:w="962" w:type="pct"/>
            <w:tcBorders>
              <w:top w:val="nil"/>
              <w:left w:val="nil"/>
              <w:bottom w:val="single" w:sz="4" w:space="0" w:color="auto"/>
              <w:right w:val="single" w:sz="4" w:space="0" w:color="auto"/>
            </w:tcBorders>
            <w:shd w:val="clear" w:color="auto" w:fill="auto"/>
            <w:noWrap/>
            <w:vAlign w:val="bottom"/>
          </w:tcPr>
          <w:p w:rsidR="002865F6" w:rsidRPr="002865F6" w:rsidRDefault="002865F6" w:rsidP="002865F6">
            <w:pPr>
              <w:spacing w:line="240" w:lineRule="auto"/>
              <w:jc w:val="center"/>
              <w:rPr>
                <w:color w:val="000000"/>
                <w:szCs w:val="22"/>
              </w:rPr>
            </w:pPr>
            <w:r w:rsidRPr="002865F6">
              <w:rPr>
                <w:color w:val="000000"/>
                <w:szCs w:val="22"/>
              </w:rPr>
              <w:t>3% Discount ($2016)</w:t>
            </w:r>
          </w:p>
        </w:tc>
      </w:tr>
      <w:tr w:rsidR="002865F6" w:rsidRPr="002865F6" w:rsidTr="002865F6">
        <w:trPr>
          <w:trHeight w:val="288"/>
        </w:trPr>
        <w:tc>
          <w:tcPr>
            <w:tcW w:w="307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Mode Shift Safety Savings </w:t>
            </w:r>
          </w:p>
        </w:tc>
        <w:tc>
          <w:tcPr>
            <w:tcW w:w="96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30.0</w:t>
            </w:r>
          </w:p>
        </w:tc>
        <w:tc>
          <w:tcPr>
            <w:tcW w:w="96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51.8</w:t>
            </w:r>
          </w:p>
        </w:tc>
      </w:tr>
      <w:tr w:rsidR="002865F6" w:rsidRPr="002865F6" w:rsidTr="002865F6">
        <w:trPr>
          <w:trHeight w:val="288"/>
        </w:trPr>
        <w:tc>
          <w:tcPr>
            <w:tcW w:w="307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Bike Mode Shift Safety Savings </w:t>
            </w:r>
          </w:p>
        </w:tc>
        <w:tc>
          <w:tcPr>
            <w:tcW w:w="96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1.3</w:t>
            </w:r>
          </w:p>
        </w:tc>
        <w:tc>
          <w:tcPr>
            <w:tcW w:w="96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2.2</w:t>
            </w:r>
          </w:p>
        </w:tc>
      </w:tr>
    </w:tbl>
    <w:p w:rsidR="002865F6" w:rsidRDefault="002865F6" w:rsidP="008E5223">
      <w:pPr>
        <w:pStyle w:val="BodyText"/>
      </w:pPr>
    </w:p>
    <w:p w:rsidR="008E5223" w:rsidRPr="00323D5D" w:rsidRDefault="00A5341A" w:rsidP="008E5223">
      <w:pPr>
        <w:pStyle w:val="BodyText"/>
      </w:pPr>
      <w:r w:rsidRPr="00323D5D">
        <w:t xml:space="preserve">Savings from accidents and fatalities avoided were calculated using the VMT avoidance generated by mode shift from single passenger vehicles to </w:t>
      </w:r>
      <w:r w:rsidR="004929C1">
        <w:t xml:space="preserve">carpooling in </w:t>
      </w:r>
      <w:r w:rsidRPr="00323D5D">
        <w:t>HOV</w:t>
      </w:r>
      <w:r w:rsidR="004929C1">
        <w:t>3+</w:t>
      </w:r>
      <w:r w:rsidRPr="00323D5D">
        <w:t xml:space="preserve"> </w:t>
      </w:r>
      <w:r w:rsidR="00C3525E">
        <w:t xml:space="preserve">, </w:t>
      </w:r>
      <w:r w:rsidR="004929C1">
        <w:t xml:space="preserve">to </w:t>
      </w:r>
      <w:r w:rsidRPr="00323D5D">
        <w:t>transit,</w:t>
      </w:r>
      <w:r w:rsidR="00C3525E">
        <w:t xml:space="preserve"> or to bicycle</w:t>
      </w:r>
      <w:r w:rsidRPr="00323D5D">
        <w:t xml:space="preserve"> which was then applied to the DOT’s benchmarked guidance on occurrence of accidents per VMT.  The estimated number of accidents and fatalities were then broken down into NHTSA’s MAIS categories</w:t>
      </w:r>
      <w:r w:rsidR="00E7271F">
        <w:t>, which were then monetized using</w:t>
      </w:r>
      <w:r w:rsidRPr="00323D5D">
        <w:t xml:space="preserve"> the DOT’s recommended monetary value as a fraction of VSL.   Table </w:t>
      </w:r>
      <w:r w:rsidR="006F3144">
        <w:t>40</w:t>
      </w:r>
      <w:r w:rsidR="006F3144" w:rsidRPr="00323D5D">
        <w:t xml:space="preserve"> </w:t>
      </w:r>
      <w:r w:rsidRPr="00323D5D">
        <w:t>shows the annual savings generate under each MAIS category.  The net present value of the safety benefit generated by the build scenario is $</w:t>
      </w:r>
      <w:r w:rsidR="006F3144" w:rsidRPr="00323D5D">
        <w:t>2</w:t>
      </w:r>
      <w:r w:rsidR="006F3144">
        <w:t>8</w:t>
      </w:r>
      <w:r w:rsidR="00197821" w:rsidRPr="00323D5D">
        <w:t>.7</w:t>
      </w:r>
      <w:r w:rsidR="006F3144">
        <w:t>M</w:t>
      </w:r>
      <w:r w:rsidR="00197821" w:rsidRPr="00323D5D">
        <w:t xml:space="preserve"> at a 7% discount rate, and $</w:t>
      </w:r>
      <w:r w:rsidR="006F3144">
        <w:t>49.6</w:t>
      </w:r>
      <w:r w:rsidR="00197821" w:rsidRPr="00323D5D">
        <w:t>M at a 3% discount rate.</w:t>
      </w:r>
    </w:p>
    <w:p w:rsidR="00A5341A" w:rsidRDefault="00A5341A" w:rsidP="00A5341A">
      <w:pPr>
        <w:pStyle w:val="BodyText"/>
        <w:spacing w:after="0"/>
        <w:jc w:val="center"/>
        <w:rPr>
          <w:b/>
          <w:sz w:val="18"/>
          <w:szCs w:val="18"/>
        </w:rPr>
      </w:pPr>
      <w:r w:rsidRPr="00323D5D">
        <w:rPr>
          <w:b/>
          <w:sz w:val="18"/>
          <w:szCs w:val="18"/>
        </w:rPr>
        <w:t xml:space="preserve">Table </w:t>
      </w:r>
      <w:r w:rsidR="006F3144">
        <w:rPr>
          <w:b/>
          <w:sz w:val="18"/>
          <w:szCs w:val="18"/>
        </w:rPr>
        <w:t>40</w:t>
      </w:r>
      <w:r w:rsidRPr="00323D5D">
        <w:rPr>
          <w:b/>
          <w:sz w:val="18"/>
          <w:szCs w:val="18"/>
        </w:rPr>
        <w:t>: Savings from Accidents and Fatalities Avoided (2021-2040)</w:t>
      </w:r>
    </w:p>
    <w:tbl>
      <w:tblPr>
        <w:tblW w:w="5000" w:type="pct"/>
        <w:tblLook w:val="04A0" w:firstRow="1" w:lastRow="0" w:firstColumn="1" w:lastColumn="0" w:noHBand="0" w:noVBand="1"/>
      </w:tblPr>
      <w:tblGrid>
        <w:gridCol w:w="4795"/>
        <w:gridCol w:w="843"/>
        <w:gridCol w:w="882"/>
        <w:gridCol w:w="764"/>
        <w:gridCol w:w="764"/>
        <w:gridCol w:w="764"/>
        <w:gridCol w:w="764"/>
      </w:tblGrid>
      <w:tr w:rsidR="006F3144" w:rsidRPr="006F3144" w:rsidTr="006A21C2">
        <w:trPr>
          <w:trHeight w:val="288"/>
        </w:trPr>
        <w:tc>
          <w:tcPr>
            <w:tcW w:w="2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b/>
                <w:bCs/>
                <w:color w:val="000000"/>
                <w:szCs w:val="22"/>
              </w:rPr>
            </w:pPr>
            <w:r w:rsidRPr="006F3144">
              <w:rPr>
                <w:b/>
                <w:bCs/>
                <w:color w:val="000000"/>
                <w:szCs w:val="22"/>
              </w:rPr>
              <w:t> </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b/>
                <w:bCs/>
                <w:color w:val="000000"/>
                <w:szCs w:val="22"/>
              </w:rPr>
            </w:pPr>
            <w:r w:rsidRPr="006F3144">
              <w:rPr>
                <w:b/>
                <w:bCs/>
                <w:color w:val="000000"/>
                <w:szCs w:val="22"/>
              </w:rPr>
              <w:t>2021</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b/>
                <w:bCs/>
                <w:color w:val="000000"/>
                <w:szCs w:val="22"/>
              </w:rPr>
            </w:pPr>
            <w:r w:rsidRPr="006F3144">
              <w:rPr>
                <w:b/>
                <w:bCs/>
                <w:color w:val="000000"/>
                <w:szCs w:val="22"/>
              </w:rPr>
              <w:t>2025</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b/>
                <w:bCs/>
                <w:color w:val="000000"/>
                <w:szCs w:val="22"/>
              </w:rPr>
            </w:pPr>
            <w:r w:rsidRPr="006F3144">
              <w:rPr>
                <w:b/>
                <w:bCs/>
                <w:color w:val="000000"/>
                <w:szCs w:val="22"/>
              </w:rPr>
              <w:t>2030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b/>
                <w:bCs/>
                <w:color w:val="000000"/>
                <w:szCs w:val="22"/>
              </w:rPr>
            </w:pPr>
            <w:r w:rsidRPr="006F3144">
              <w:rPr>
                <w:b/>
                <w:bCs/>
                <w:color w:val="000000"/>
                <w:szCs w:val="22"/>
              </w:rPr>
              <w:t>2035</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b/>
                <w:bCs/>
                <w:color w:val="000000"/>
                <w:szCs w:val="22"/>
              </w:rPr>
            </w:pPr>
            <w:r w:rsidRPr="006F3144">
              <w:rPr>
                <w:b/>
                <w:bCs/>
                <w:color w:val="000000"/>
                <w:szCs w:val="22"/>
              </w:rPr>
              <w:t>2040</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b/>
                <w:bCs/>
                <w:color w:val="000000"/>
                <w:szCs w:val="22"/>
              </w:rPr>
            </w:pPr>
            <w:r w:rsidRPr="006F3144">
              <w:rPr>
                <w:b/>
                <w:bCs/>
                <w:color w:val="000000"/>
                <w:szCs w:val="22"/>
              </w:rPr>
              <w:t xml:space="preserve">Total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Fatalities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1.0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1.2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1.5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2.1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2.2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32.2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MAIS 5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0.4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0.5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0.7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0.9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1.0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14.5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MAIS 4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0.2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0.2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2.8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MAIS 3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0.3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0.5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0.6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0.7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9.5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MAIS 2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0.4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0.5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0.6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0.8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0.8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12.0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Property Damage Only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0.2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0.2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0.3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5.6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Cost Savings from MAIS 1 Accidents Avoided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szCs w:val="22"/>
              </w:rPr>
            </w:pPr>
            <w:r w:rsidRPr="006F3144">
              <w:rPr>
                <w:szCs w:val="22"/>
              </w:rPr>
              <w:t xml:space="preserve">         0.1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1.9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b/>
                <w:bCs/>
                <w:color w:val="000000"/>
                <w:szCs w:val="22"/>
              </w:rPr>
            </w:pPr>
            <w:r w:rsidRPr="006F3144">
              <w:rPr>
                <w:b/>
                <w:bCs/>
                <w:color w:val="000000"/>
                <w:szCs w:val="22"/>
              </w:rPr>
              <w:t>Total</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2.4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3.0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3.7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5.1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5.4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78.5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Accidents and Fatalities Avoided Savings 7% Discount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1.7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1.6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1.4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1.4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1.1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28.7 </w:t>
            </w:r>
          </w:p>
        </w:tc>
      </w:tr>
      <w:tr w:rsidR="006F3144" w:rsidRPr="006F3144" w:rsidTr="006A21C2">
        <w:trPr>
          <w:trHeight w:val="288"/>
        </w:trPr>
        <w:tc>
          <w:tcPr>
            <w:tcW w:w="2561" w:type="pct"/>
            <w:tcBorders>
              <w:top w:val="nil"/>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Accidents and Fatalities Avoided Savings 3% Discount ($2016M)</w:t>
            </w:r>
          </w:p>
        </w:tc>
        <w:tc>
          <w:tcPr>
            <w:tcW w:w="432"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2.1 </w:t>
            </w:r>
          </w:p>
        </w:tc>
        <w:tc>
          <w:tcPr>
            <w:tcW w:w="471"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2.3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2.5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2.9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color w:val="000000"/>
                <w:szCs w:val="22"/>
              </w:rPr>
            </w:pPr>
            <w:r w:rsidRPr="006F3144">
              <w:rPr>
                <w:color w:val="000000"/>
                <w:szCs w:val="22"/>
              </w:rPr>
              <w:t xml:space="preserve">         2.7 </w:t>
            </w:r>
          </w:p>
        </w:tc>
        <w:tc>
          <w:tcPr>
            <w:tcW w:w="384" w:type="pct"/>
            <w:tcBorders>
              <w:top w:val="nil"/>
              <w:left w:val="nil"/>
              <w:bottom w:val="single" w:sz="4" w:space="0" w:color="auto"/>
              <w:right w:val="single" w:sz="4" w:space="0" w:color="auto"/>
            </w:tcBorders>
            <w:shd w:val="clear" w:color="auto" w:fill="auto"/>
            <w:noWrap/>
            <w:vAlign w:val="bottom"/>
            <w:hideMark/>
          </w:tcPr>
          <w:p w:rsidR="006F3144" w:rsidRPr="006A21C2" w:rsidRDefault="006F3144" w:rsidP="006F3144">
            <w:pPr>
              <w:spacing w:line="240" w:lineRule="auto"/>
              <w:rPr>
                <w:b/>
                <w:szCs w:val="22"/>
              </w:rPr>
            </w:pPr>
            <w:r w:rsidRPr="006A21C2">
              <w:rPr>
                <w:b/>
                <w:szCs w:val="22"/>
              </w:rPr>
              <w:t xml:space="preserve">       49.6 </w:t>
            </w:r>
          </w:p>
        </w:tc>
      </w:tr>
    </w:tbl>
    <w:p w:rsidR="00A5341A" w:rsidRPr="00323D5D" w:rsidRDefault="006F3144" w:rsidP="00A5341A">
      <w:pPr>
        <w:pStyle w:val="BodyText"/>
        <w:rPr>
          <w:sz w:val="18"/>
          <w:szCs w:val="18"/>
        </w:rPr>
      </w:pPr>
      <w:r>
        <w:rPr>
          <w:sz w:val="18"/>
          <w:szCs w:val="18"/>
        </w:rPr>
        <w:t>S</w:t>
      </w:r>
      <w:r w:rsidR="00A5341A" w:rsidRPr="00323D5D">
        <w:rPr>
          <w:sz w:val="18"/>
          <w:szCs w:val="18"/>
        </w:rPr>
        <w:t>ource: Muller, AECOM, DOT</w:t>
      </w:r>
    </w:p>
    <w:p w:rsidR="00197821" w:rsidRPr="00323D5D" w:rsidRDefault="00197821" w:rsidP="00CC4D3D">
      <w:pPr>
        <w:pStyle w:val="BodyText"/>
        <w:spacing w:after="0"/>
        <w:rPr>
          <w:sz w:val="18"/>
          <w:szCs w:val="18"/>
        </w:rPr>
      </w:pPr>
    </w:p>
    <w:p w:rsidR="00197821" w:rsidRDefault="00197821" w:rsidP="00197821">
      <w:pPr>
        <w:pStyle w:val="Heading3"/>
        <w:rPr>
          <w:rFonts w:ascii="Times New Roman" w:hAnsi="Times New Roman" w:cs="Times New Roman"/>
        </w:rPr>
      </w:pPr>
      <w:bookmarkStart w:id="179" w:name="_Toc448780366"/>
      <w:r w:rsidRPr="00323D5D">
        <w:rPr>
          <w:rFonts w:ascii="Times New Roman" w:hAnsi="Times New Roman" w:cs="Times New Roman"/>
        </w:rPr>
        <w:t xml:space="preserve">Environmental </w:t>
      </w:r>
      <w:r w:rsidR="00C3525E">
        <w:rPr>
          <w:rFonts w:ascii="Times New Roman" w:hAnsi="Times New Roman" w:cs="Times New Roman"/>
        </w:rPr>
        <w:t>Sustainability</w:t>
      </w:r>
      <w:bookmarkEnd w:id="179"/>
    </w:p>
    <w:tbl>
      <w:tblPr>
        <w:tblW w:w="5000" w:type="pct"/>
        <w:tblLook w:val="04A0" w:firstRow="1" w:lastRow="0" w:firstColumn="1" w:lastColumn="0" w:noHBand="0" w:noVBand="1"/>
      </w:tblPr>
      <w:tblGrid>
        <w:gridCol w:w="5354"/>
        <w:gridCol w:w="2111"/>
        <w:gridCol w:w="2111"/>
      </w:tblGrid>
      <w:tr w:rsidR="002865F6" w:rsidRPr="002865F6" w:rsidTr="002865F6">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auto"/>
            <w:noWrap/>
            <w:vAlign w:val="bottom"/>
            <w:hideMark/>
          </w:tcPr>
          <w:p w:rsidR="002865F6" w:rsidRPr="002865F6" w:rsidRDefault="002865F6" w:rsidP="002865F6">
            <w:pPr>
              <w:spacing w:line="240" w:lineRule="auto"/>
              <w:jc w:val="center"/>
              <w:rPr>
                <w:b/>
                <w:color w:val="000000"/>
                <w:szCs w:val="22"/>
              </w:rPr>
            </w:pPr>
            <w:r w:rsidRPr="002865F6">
              <w:rPr>
                <w:b/>
                <w:color w:val="000000"/>
                <w:szCs w:val="22"/>
              </w:rPr>
              <w:t xml:space="preserve">Environmental Sustainability  Benefits Summary </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tcPr>
          <w:p w:rsidR="002865F6" w:rsidRPr="002865F6" w:rsidRDefault="002865F6" w:rsidP="002865F6">
            <w:pPr>
              <w:spacing w:line="240" w:lineRule="auto"/>
              <w:rPr>
                <w:color w:val="000000"/>
                <w:szCs w:val="22"/>
              </w:rPr>
            </w:pPr>
          </w:p>
        </w:tc>
        <w:tc>
          <w:tcPr>
            <w:tcW w:w="892" w:type="pct"/>
            <w:tcBorders>
              <w:top w:val="nil"/>
              <w:left w:val="nil"/>
              <w:bottom w:val="single" w:sz="4" w:space="0" w:color="auto"/>
              <w:right w:val="single" w:sz="4" w:space="0" w:color="auto"/>
            </w:tcBorders>
            <w:shd w:val="clear" w:color="auto" w:fill="auto"/>
            <w:noWrap/>
            <w:vAlign w:val="bottom"/>
          </w:tcPr>
          <w:p w:rsidR="002865F6" w:rsidRPr="002865F6" w:rsidRDefault="002865F6" w:rsidP="00FC1390">
            <w:pPr>
              <w:spacing w:line="240" w:lineRule="auto"/>
              <w:jc w:val="center"/>
              <w:rPr>
                <w:color w:val="000000"/>
                <w:szCs w:val="22"/>
              </w:rPr>
            </w:pPr>
            <w:r w:rsidRPr="002865F6">
              <w:rPr>
                <w:color w:val="000000"/>
                <w:szCs w:val="22"/>
              </w:rPr>
              <w:t>7% Discount ($2016)</w:t>
            </w:r>
          </w:p>
        </w:tc>
        <w:tc>
          <w:tcPr>
            <w:tcW w:w="892" w:type="pct"/>
            <w:tcBorders>
              <w:top w:val="nil"/>
              <w:left w:val="nil"/>
              <w:bottom w:val="single" w:sz="4" w:space="0" w:color="auto"/>
              <w:right w:val="single" w:sz="4" w:space="0" w:color="auto"/>
            </w:tcBorders>
            <w:shd w:val="clear" w:color="auto" w:fill="auto"/>
            <w:noWrap/>
            <w:vAlign w:val="bottom"/>
          </w:tcPr>
          <w:p w:rsidR="002865F6" w:rsidRPr="002865F6" w:rsidRDefault="002865F6" w:rsidP="00FC1390">
            <w:pPr>
              <w:spacing w:line="240" w:lineRule="auto"/>
              <w:jc w:val="center"/>
              <w:rPr>
                <w:color w:val="000000"/>
                <w:szCs w:val="22"/>
              </w:rPr>
            </w:pPr>
            <w:r w:rsidRPr="002865F6">
              <w:rPr>
                <w:color w:val="000000"/>
                <w:szCs w:val="22"/>
              </w:rPr>
              <w:t>3% Discount ($2016)</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Idling Emissions Reductions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0.4</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Idling CO2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1.1</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1.1</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Mode Shift Emissions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4.3</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6.9</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Mode Shift CO2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4.1</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4.1</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lastRenderedPageBreak/>
              <w:t xml:space="preserve"> Freight Idling Emissions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0.5</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0.9</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Freight Idling CO2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Bike Mode Shift Emissions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0.3</w:t>
            </w:r>
          </w:p>
        </w:tc>
      </w:tr>
      <w:tr w:rsidR="002865F6" w:rsidRPr="002865F6" w:rsidTr="002865F6">
        <w:trPr>
          <w:trHeight w:val="288"/>
        </w:trPr>
        <w:tc>
          <w:tcPr>
            <w:tcW w:w="3216" w:type="pct"/>
            <w:tcBorders>
              <w:top w:val="nil"/>
              <w:left w:val="single" w:sz="4" w:space="0" w:color="auto"/>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Bike Mode Shift CO2 Savings </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c>
          <w:tcPr>
            <w:tcW w:w="892" w:type="pct"/>
            <w:tcBorders>
              <w:top w:val="nil"/>
              <w:left w:val="nil"/>
              <w:bottom w:val="single" w:sz="4" w:space="0" w:color="auto"/>
              <w:right w:val="single" w:sz="4" w:space="0" w:color="auto"/>
            </w:tcBorders>
            <w:shd w:val="clear" w:color="auto" w:fill="auto"/>
            <w:noWrap/>
            <w:vAlign w:val="bottom"/>
            <w:hideMark/>
          </w:tcPr>
          <w:p w:rsidR="002865F6" w:rsidRPr="002865F6" w:rsidRDefault="002865F6" w:rsidP="002865F6">
            <w:pPr>
              <w:spacing w:line="240" w:lineRule="auto"/>
              <w:jc w:val="center"/>
              <w:rPr>
                <w:color w:val="000000"/>
                <w:szCs w:val="22"/>
              </w:rPr>
            </w:pPr>
            <w:r w:rsidRPr="002865F6">
              <w:rPr>
                <w:color w:val="000000"/>
                <w:szCs w:val="22"/>
              </w:rPr>
              <w:t>$        0.2</w:t>
            </w:r>
          </w:p>
        </w:tc>
      </w:tr>
    </w:tbl>
    <w:p w:rsidR="002865F6" w:rsidRPr="002865F6" w:rsidRDefault="002865F6" w:rsidP="002865F6">
      <w:pPr>
        <w:pStyle w:val="BodyText"/>
      </w:pPr>
    </w:p>
    <w:p w:rsidR="00CE1868" w:rsidRPr="00323D5D" w:rsidRDefault="00CE1868" w:rsidP="00CE1868">
      <w:pPr>
        <w:pStyle w:val="BodyText"/>
        <w:jc w:val="left"/>
      </w:pPr>
      <w:r w:rsidRPr="00323D5D">
        <w:t xml:space="preserve">Emissions reduction generated by the implementation of the </w:t>
      </w:r>
      <w:r w:rsidR="003B3E40">
        <w:t>I-25 Project</w:t>
      </w:r>
      <w:r w:rsidRPr="00323D5D">
        <w:t xml:space="preserve"> were quantified through evaluation of reduced operating hours and of vehicle miles travelled avoidance. With the exception </w:t>
      </w:r>
      <w:proofErr w:type="gramStart"/>
      <w:r w:rsidRPr="00323D5D">
        <w:t xml:space="preserve">of </w:t>
      </w:r>
      <w:r w:rsidRPr="00323D5D">
        <w:rPr>
          <w:szCs w:val="22"/>
        </w:rPr>
        <w:t xml:space="preserve"> CO</w:t>
      </w:r>
      <w:r w:rsidRPr="00323D5D">
        <w:rPr>
          <w:szCs w:val="22"/>
          <w:vertAlign w:val="subscript"/>
        </w:rPr>
        <w:t>2</w:t>
      </w:r>
      <w:proofErr w:type="gramEnd"/>
      <w:r w:rsidRPr="00323D5D">
        <w:rPr>
          <w:szCs w:val="22"/>
        </w:rPr>
        <w:t xml:space="preserve"> emissions, these </w:t>
      </w:r>
      <w:r w:rsidRPr="00323D5D">
        <w:t>were then monetized against the</w:t>
      </w:r>
      <w:r w:rsidRPr="00323D5D">
        <w:rPr>
          <w:szCs w:val="22"/>
        </w:rPr>
        <w:t xml:space="preserve"> National Highway Traffic and Safety Administration’s (NHTSA) CAFÉ standards for MY2017-MY2025 and escalated to $2016.  CO</w:t>
      </w:r>
      <w:r w:rsidRPr="00323D5D">
        <w:rPr>
          <w:szCs w:val="22"/>
          <w:vertAlign w:val="subscript"/>
        </w:rPr>
        <w:t>2</w:t>
      </w:r>
      <w:r w:rsidRPr="00323D5D">
        <w:rPr>
          <w:szCs w:val="22"/>
        </w:rPr>
        <w:t xml:space="preserve"> emissions were monetized following DOT guidelines which state that monetization within a benefit</w:t>
      </w:r>
      <w:r w:rsidR="006F3144">
        <w:rPr>
          <w:szCs w:val="22"/>
        </w:rPr>
        <w:t>-</w:t>
      </w:r>
      <w:r w:rsidRPr="00323D5D">
        <w:rPr>
          <w:szCs w:val="22"/>
        </w:rPr>
        <w:t>costs analysis should follow the OMB guidance on the social cost of carbon which recommends the use of a 3% discount rate</w:t>
      </w:r>
      <w:r w:rsidR="006F3144">
        <w:rPr>
          <w:szCs w:val="22"/>
        </w:rPr>
        <w:t>.</w:t>
      </w:r>
    </w:p>
    <w:p w:rsidR="00160674" w:rsidRPr="00323D5D" w:rsidRDefault="001A22C0" w:rsidP="00160674">
      <w:pPr>
        <w:pStyle w:val="Heading4"/>
        <w:rPr>
          <w:rFonts w:ascii="Times New Roman" w:hAnsi="Times New Roman"/>
        </w:rPr>
      </w:pPr>
      <w:bookmarkStart w:id="180" w:name="_Toc448780367"/>
      <w:r w:rsidRPr="00323D5D">
        <w:rPr>
          <w:rFonts w:ascii="Times New Roman" w:hAnsi="Times New Roman"/>
        </w:rPr>
        <w:t>Emissions Savings</w:t>
      </w:r>
      <w:r w:rsidR="00CE1868" w:rsidRPr="00323D5D">
        <w:rPr>
          <w:rFonts w:ascii="Times New Roman" w:hAnsi="Times New Roman"/>
        </w:rPr>
        <w:t xml:space="preserve"> f</w:t>
      </w:r>
      <w:r w:rsidRPr="00323D5D">
        <w:rPr>
          <w:rFonts w:ascii="Times New Roman" w:hAnsi="Times New Roman"/>
        </w:rPr>
        <w:t>rom Reduced Operating Hours</w:t>
      </w:r>
      <w:bookmarkEnd w:id="180"/>
    </w:p>
    <w:p w:rsidR="001A22C0" w:rsidRDefault="001A22C0" w:rsidP="001A22C0">
      <w:pPr>
        <w:pStyle w:val="BodyText"/>
        <w:jc w:val="left"/>
      </w:pPr>
      <w:r w:rsidRPr="00323D5D">
        <w:t xml:space="preserve">The reduction in emissions for personal vehicles, commercial trucks and </w:t>
      </w:r>
      <w:proofErr w:type="spellStart"/>
      <w:r w:rsidRPr="00323D5D">
        <w:t>Bustang</w:t>
      </w:r>
      <w:proofErr w:type="spellEnd"/>
      <w:r w:rsidRPr="00323D5D">
        <w:t xml:space="preserve"> express bus</w:t>
      </w:r>
      <w:r w:rsidR="00CE1868" w:rsidRPr="00323D5D">
        <w:t xml:space="preserve"> </w:t>
      </w:r>
      <w:r w:rsidRPr="00323D5D">
        <w:t xml:space="preserve">was calculated through the evaluation of the decrease in vehicle hours across all vehicle types in the build scenario when compared to the baseline scenario.  </w:t>
      </w:r>
      <w:r w:rsidR="001A625E" w:rsidRPr="00323D5D">
        <w:t xml:space="preserve">This reduction in emissions from decreased VHT across all vehicle types </w:t>
      </w:r>
      <w:r w:rsidR="001A625E" w:rsidRPr="0015783E">
        <w:t>resulted in a benefit of $</w:t>
      </w:r>
      <w:r w:rsidR="006F3144" w:rsidRPr="0015783E">
        <w:t>2.</w:t>
      </w:r>
      <w:r w:rsidR="0015783E" w:rsidRPr="0015783E">
        <w:t>1</w:t>
      </w:r>
      <w:r w:rsidR="006F3144" w:rsidRPr="0015783E">
        <w:t xml:space="preserve"> </w:t>
      </w:r>
      <w:r w:rsidR="001A625E" w:rsidRPr="0015783E">
        <w:t>million</w:t>
      </w:r>
      <w:r w:rsidR="001A625E" w:rsidRPr="00323D5D">
        <w:t xml:space="preserve"> at a 7% discount rate and $</w:t>
      </w:r>
      <w:r w:rsidR="006F3144">
        <w:t>2.</w:t>
      </w:r>
      <w:r w:rsidR="0015783E">
        <w:t xml:space="preserve">6 </w:t>
      </w:r>
      <w:r w:rsidR="001A625E" w:rsidRPr="00323D5D">
        <w:t xml:space="preserve">million at a 3% discount rate.  </w:t>
      </w:r>
      <w:r w:rsidRPr="00323D5D">
        <w:t xml:space="preserve">A summary of the </w:t>
      </w:r>
      <w:r w:rsidR="00CE1868" w:rsidRPr="00323D5D">
        <w:t xml:space="preserve">valuation of the emissions </w:t>
      </w:r>
      <w:r w:rsidRPr="00323D5D">
        <w:t xml:space="preserve">reduction </w:t>
      </w:r>
      <w:r w:rsidR="00CE1868" w:rsidRPr="00323D5D">
        <w:t xml:space="preserve">generated by a decrease in </w:t>
      </w:r>
      <w:r w:rsidRPr="00323D5D">
        <w:t xml:space="preserve">operating hours </w:t>
      </w:r>
      <w:r w:rsidR="00CE1868" w:rsidRPr="00323D5D">
        <w:t xml:space="preserve">across all vehicle types </w:t>
      </w:r>
      <w:r w:rsidRPr="00323D5D">
        <w:t xml:space="preserve">is shown in Table </w:t>
      </w:r>
      <w:r w:rsidR="006F3144">
        <w:t>41</w:t>
      </w:r>
      <w:r w:rsidRPr="00323D5D">
        <w:t>.</w:t>
      </w:r>
    </w:p>
    <w:p w:rsidR="001A625E" w:rsidRDefault="001A625E" w:rsidP="001A625E">
      <w:pPr>
        <w:pStyle w:val="BodyText"/>
        <w:spacing w:after="0"/>
        <w:jc w:val="center"/>
        <w:rPr>
          <w:b/>
          <w:sz w:val="18"/>
          <w:szCs w:val="18"/>
        </w:rPr>
      </w:pPr>
      <w:r w:rsidRPr="00323D5D">
        <w:rPr>
          <w:b/>
          <w:sz w:val="18"/>
          <w:szCs w:val="18"/>
        </w:rPr>
        <w:t xml:space="preserve">Table </w:t>
      </w:r>
      <w:r w:rsidR="006F3144">
        <w:rPr>
          <w:b/>
          <w:sz w:val="18"/>
          <w:szCs w:val="18"/>
        </w:rPr>
        <w:t>41</w:t>
      </w:r>
      <w:r w:rsidRPr="00323D5D">
        <w:rPr>
          <w:b/>
          <w:sz w:val="18"/>
          <w:szCs w:val="18"/>
        </w:rPr>
        <w:t>: Valuation of Emissions Benefit from Reduced VHT (2021-2040)</w:t>
      </w:r>
    </w:p>
    <w:tbl>
      <w:tblPr>
        <w:tblW w:w="5000" w:type="pct"/>
        <w:tblLook w:val="04A0" w:firstRow="1" w:lastRow="0" w:firstColumn="1" w:lastColumn="0" w:noHBand="0" w:noVBand="1"/>
      </w:tblPr>
      <w:tblGrid>
        <w:gridCol w:w="4507"/>
        <w:gridCol w:w="1284"/>
        <w:gridCol w:w="718"/>
        <w:gridCol w:w="718"/>
        <w:gridCol w:w="758"/>
        <w:gridCol w:w="718"/>
        <w:gridCol w:w="873"/>
      </w:tblGrid>
      <w:tr w:rsidR="006F3144" w:rsidRPr="006F3144" w:rsidTr="0010593E">
        <w:trPr>
          <w:trHeight w:val="288"/>
        </w:trPr>
        <w:tc>
          <w:tcPr>
            <w:tcW w:w="2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 </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2021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2025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2030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2035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2040</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rFonts w:ascii="Calibri" w:hAnsi="Calibri"/>
                <w:b/>
                <w:bCs/>
                <w:color w:val="000000"/>
                <w:szCs w:val="22"/>
              </w:rPr>
            </w:pPr>
            <w:r w:rsidRPr="006F3144">
              <w:rPr>
                <w:rFonts w:ascii="Calibri" w:hAnsi="Calibri"/>
                <w:b/>
                <w:bCs/>
                <w:color w:val="000000"/>
                <w:szCs w:val="22"/>
              </w:rPr>
              <w:t>Total</w:t>
            </w:r>
          </w:p>
        </w:tc>
      </w:tr>
      <w:tr w:rsidR="006F3144"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rFonts w:ascii="Calibri" w:hAnsi="Calibri"/>
                <w:color w:val="000000"/>
                <w:szCs w:val="22"/>
              </w:rPr>
            </w:pPr>
            <w:r w:rsidRPr="006F3144">
              <w:rPr>
                <w:rFonts w:ascii="Calibri" w:hAnsi="Calibri"/>
                <w:color w:val="000000"/>
                <w:szCs w:val="22"/>
              </w:rPr>
              <w:t> </w:t>
            </w:r>
          </w:p>
        </w:tc>
        <w:tc>
          <w:tcPr>
            <w:tcW w:w="2647" w:type="pct"/>
            <w:gridSpan w:val="6"/>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center"/>
              <w:rPr>
                <w:rFonts w:ascii="Calibri" w:hAnsi="Calibri"/>
                <w:b/>
                <w:bCs/>
                <w:color w:val="000000"/>
                <w:szCs w:val="22"/>
              </w:rPr>
            </w:pPr>
            <w:r w:rsidRPr="006F3144">
              <w:rPr>
                <w:rFonts w:ascii="Calibri" w:hAnsi="Calibri"/>
                <w:b/>
                <w:bCs/>
                <w:color w:val="000000"/>
                <w:szCs w:val="22"/>
              </w:rPr>
              <w:t>$M</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 xml:space="preserve">CO </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 xml:space="preserve">NOX </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0.04</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0.04</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0.04</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0.7</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 xml:space="preserve">PM2.5 </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0.02</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0.6</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PM10</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0.02</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0.03</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0.6</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 xml:space="preserve">VOC </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0.00</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0.00</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0.00</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0.00</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0.00</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 xml:space="preserve">CO2 </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0.06</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0.09</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0.10</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0.12</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2.0</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Total Emissions Savings from VHT Reduction</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4.0</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Total Emissions Savings at 7% discount ($2016)</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2.1</w:t>
            </w:r>
          </w:p>
        </w:tc>
      </w:tr>
      <w:tr w:rsidR="0010593E" w:rsidRPr="006F3144" w:rsidTr="0010593E">
        <w:trPr>
          <w:trHeight w:val="288"/>
        </w:trPr>
        <w:tc>
          <w:tcPr>
            <w:tcW w:w="2353" w:type="pct"/>
            <w:tcBorders>
              <w:top w:val="nil"/>
              <w:left w:val="single" w:sz="4" w:space="0" w:color="auto"/>
              <w:bottom w:val="single" w:sz="4" w:space="0" w:color="auto"/>
              <w:right w:val="single" w:sz="4" w:space="0" w:color="auto"/>
            </w:tcBorders>
            <w:shd w:val="clear" w:color="auto" w:fill="auto"/>
            <w:noWrap/>
            <w:vAlign w:val="center"/>
            <w:hideMark/>
          </w:tcPr>
          <w:p w:rsidR="0010593E" w:rsidRPr="0015783E" w:rsidRDefault="0010593E" w:rsidP="006F3144">
            <w:pPr>
              <w:spacing w:line="240" w:lineRule="auto"/>
              <w:rPr>
                <w:color w:val="000000"/>
                <w:szCs w:val="22"/>
              </w:rPr>
            </w:pPr>
            <w:r w:rsidRPr="0015783E">
              <w:rPr>
                <w:color w:val="000000"/>
                <w:szCs w:val="22"/>
              </w:rPr>
              <w:t>Total Emissions Savings at 3% discount ($2016)</w:t>
            </w:r>
          </w:p>
        </w:tc>
        <w:tc>
          <w:tcPr>
            <w:tcW w:w="670"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0.2</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9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375"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0.1</w:t>
            </w:r>
          </w:p>
        </w:tc>
        <w:tc>
          <w:tcPr>
            <w:tcW w:w="456" w:type="pct"/>
            <w:tcBorders>
              <w:top w:val="nil"/>
              <w:left w:val="nil"/>
              <w:bottom w:val="single" w:sz="4" w:space="0" w:color="auto"/>
              <w:right w:val="single" w:sz="4" w:space="0" w:color="auto"/>
            </w:tcBorders>
            <w:shd w:val="clear" w:color="auto" w:fill="auto"/>
            <w:noWrap/>
            <w:vAlign w:val="bottom"/>
            <w:hideMark/>
          </w:tcPr>
          <w:p w:rsidR="0010593E" w:rsidRPr="0010593E" w:rsidRDefault="0010593E" w:rsidP="0010593E">
            <w:pPr>
              <w:jc w:val="center"/>
              <w:rPr>
                <w:color w:val="000000"/>
                <w:szCs w:val="22"/>
              </w:rPr>
            </w:pPr>
            <w:r w:rsidRPr="0010593E">
              <w:rPr>
                <w:color w:val="000000"/>
                <w:szCs w:val="22"/>
              </w:rPr>
              <w:t>2.6</w:t>
            </w:r>
          </w:p>
        </w:tc>
      </w:tr>
    </w:tbl>
    <w:p w:rsidR="001A625E" w:rsidRPr="00323D5D" w:rsidRDefault="001A625E" w:rsidP="001A625E">
      <w:pPr>
        <w:pStyle w:val="BodyText"/>
        <w:spacing w:after="0"/>
        <w:rPr>
          <w:sz w:val="18"/>
          <w:szCs w:val="18"/>
        </w:rPr>
      </w:pPr>
      <w:r w:rsidRPr="00323D5D">
        <w:rPr>
          <w:sz w:val="18"/>
          <w:szCs w:val="18"/>
        </w:rPr>
        <w:t>Source: Muller, AECOM</w:t>
      </w:r>
    </w:p>
    <w:p w:rsidR="001A22C0" w:rsidRPr="00323D5D" w:rsidRDefault="001A22C0" w:rsidP="001A22C0">
      <w:pPr>
        <w:pStyle w:val="Heading4"/>
        <w:rPr>
          <w:rFonts w:ascii="Times New Roman" w:hAnsi="Times New Roman"/>
        </w:rPr>
      </w:pPr>
      <w:bookmarkStart w:id="181" w:name="_Toc448162989"/>
      <w:bookmarkStart w:id="182" w:name="_Toc448163309"/>
      <w:bookmarkStart w:id="183" w:name="_Toc448163629"/>
      <w:bookmarkStart w:id="184" w:name="_Toc448780368"/>
      <w:bookmarkEnd w:id="181"/>
      <w:bookmarkEnd w:id="182"/>
      <w:bookmarkEnd w:id="183"/>
      <w:r w:rsidRPr="00323D5D">
        <w:rPr>
          <w:rFonts w:ascii="Times New Roman" w:hAnsi="Times New Roman"/>
        </w:rPr>
        <w:t>Emissions Savings</w:t>
      </w:r>
      <w:r w:rsidR="001A625E" w:rsidRPr="00323D5D">
        <w:rPr>
          <w:rFonts w:ascii="Times New Roman" w:hAnsi="Times New Roman"/>
        </w:rPr>
        <w:t xml:space="preserve"> f</w:t>
      </w:r>
      <w:r w:rsidRPr="00323D5D">
        <w:rPr>
          <w:rFonts w:ascii="Times New Roman" w:hAnsi="Times New Roman"/>
        </w:rPr>
        <w:t>rom VMT Avoided</w:t>
      </w:r>
      <w:bookmarkEnd w:id="184"/>
    </w:p>
    <w:p w:rsidR="001A22C0" w:rsidRDefault="001A22C0" w:rsidP="001A22C0">
      <w:pPr>
        <w:pStyle w:val="BodyText"/>
        <w:jc w:val="left"/>
      </w:pPr>
      <w:r w:rsidRPr="00323D5D">
        <w:t>The</w:t>
      </w:r>
      <w:r w:rsidR="00CE1868" w:rsidRPr="00323D5D">
        <w:t xml:space="preserve"> reduction in emissions associated with the </w:t>
      </w:r>
      <w:r w:rsidRPr="00323D5D">
        <w:t xml:space="preserve"> </w:t>
      </w:r>
      <w:r w:rsidR="00CE1868" w:rsidRPr="00323D5D">
        <w:t>avoidance of nearly 250 million vehicle miles travelled as a result of</w:t>
      </w:r>
      <w:r w:rsidRPr="00323D5D">
        <w:t xml:space="preserve"> mode shift from single passenger vehicle to either </w:t>
      </w:r>
      <w:r w:rsidR="006F3144">
        <w:t>carpooling (</w:t>
      </w:r>
      <w:r w:rsidRPr="00323D5D">
        <w:t>HOV</w:t>
      </w:r>
      <w:r w:rsidR="004929C1">
        <w:t>3+</w:t>
      </w:r>
      <w:r w:rsidR="006F3144">
        <w:t>)</w:t>
      </w:r>
      <w:r w:rsidRPr="00323D5D">
        <w:t xml:space="preserve"> </w:t>
      </w:r>
      <w:r w:rsidR="00C3525E">
        <w:t xml:space="preserve">, </w:t>
      </w:r>
      <w:r w:rsidR="004929C1">
        <w:t xml:space="preserve">to </w:t>
      </w:r>
      <w:r w:rsidR="006F3144">
        <w:t>transit (</w:t>
      </w:r>
      <w:proofErr w:type="spellStart"/>
      <w:r w:rsidRPr="00323D5D">
        <w:t>Bustang</w:t>
      </w:r>
      <w:proofErr w:type="spellEnd"/>
      <w:r w:rsidRPr="00323D5D">
        <w:t xml:space="preserve"> express bus</w:t>
      </w:r>
      <w:r w:rsidR="006F3144">
        <w:t>)</w:t>
      </w:r>
      <w:r w:rsidR="00C3525E">
        <w:t xml:space="preserve">, or to bicycle </w:t>
      </w:r>
      <w:r w:rsidR="00CE1868" w:rsidRPr="00323D5D">
        <w:t>resulted in a emissions avoidance benefit of $</w:t>
      </w:r>
      <w:r w:rsidR="0010593E">
        <w:t>8.8</w:t>
      </w:r>
      <w:r w:rsidR="00F70D29" w:rsidRPr="00323D5D">
        <w:t xml:space="preserve"> </w:t>
      </w:r>
      <w:r w:rsidR="00CE1868" w:rsidRPr="00323D5D">
        <w:t>million at a 7% discount rate and $</w:t>
      </w:r>
      <w:r w:rsidR="0010593E">
        <w:t>11.4</w:t>
      </w:r>
      <w:r w:rsidR="00F70D29" w:rsidRPr="00323D5D">
        <w:t xml:space="preserve"> </w:t>
      </w:r>
      <w:r w:rsidR="00CE1868" w:rsidRPr="00323D5D">
        <w:t>million at a 3% discount rate</w:t>
      </w:r>
      <w:r w:rsidRPr="00323D5D">
        <w:t xml:space="preserve">.   A summary of </w:t>
      </w:r>
      <w:r w:rsidR="00CE1868" w:rsidRPr="00323D5D">
        <w:t xml:space="preserve">the valuation of the </w:t>
      </w:r>
      <w:r w:rsidRPr="00323D5D">
        <w:t xml:space="preserve">emissions avoided as per a reduction in VMT due to mode shift is shown in Table </w:t>
      </w:r>
      <w:r w:rsidR="00F70D29">
        <w:t>42</w:t>
      </w:r>
      <w:r w:rsidRPr="00323D5D">
        <w:t>.</w:t>
      </w:r>
    </w:p>
    <w:p w:rsidR="00FA4CC7" w:rsidRDefault="00FA4CC7" w:rsidP="001A22C0">
      <w:pPr>
        <w:pStyle w:val="BodyText"/>
        <w:jc w:val="left"/>
      </w:pPr>
    </w:p>
    <w:p w:rsidR="00FA4CC7" w:rsidRDefault="00FA4CC7" w:rsidP="001A22C0">
      <w:pPr>
        <w:pStyle w:val="BodyText"/>
        <w:jc w:val="left"/>
      </w:pPr>
      <w:bookmarkStart w:id="185" w:name="_GoBack"/>
      <w:bookmarkEnd w:id="185"/>
    </w:p>
    <w:p w:rsidR="001A625E" w:rsidRDefault="001A625E" w:rsidP="001A625E">
      <w:pPr>
        <w:pStyle w:val="BodyText"/>
        <w:spacing w:after="0"/>
        <w:jc w:val="center"/>
        <w:rPr>
          <w:b/>
          <w:sz w:val="18"/>
          <w:szCs w:val="18"/>
        </w:rPr>
      </w:pPr>
      <w:r w:rsidRPr="00323D5D">
        <w:rPr>
          <w:b/>
          <w:sz w:val="18"/>
          <w:szCs w:val="18"/>
        </w:rPr>
        <w:lastRenderedPageBreak/>
        <w:t xml:space="preserve">Table </w:t>
      </w:r>
      <w:r w:rsidR="00F70D29">
        <w:rPr>
          <w:b/>
          <w:sz w:val="18"/>
          <w:szCs w:val="18"/>
        </w:rPr>
        <w:t>42</w:t>
      </w:r>
      <w:r w:rsidRPr="00323D5D">
        <w:rPr>
          <w:b/>
          <w:sz w:val="18"/>
          <w:szCs w:val="18"/>
        </w:rPr>
        <w:t>: Valuation of Emissions Benefit from VMT Avoidance (2021-2040)</w:t>
      </w:r>
    </w:p>
    <w:p w:rsidR="006F3144" w:rsidRDefault="006F3144" w:rsidP="001A625E">
      <w:pPr>
        <w:pStyle w:val="BodyText"/>
        <w:spacing w:after="0"/>
        <w:jc w:val="center"/>
        <w:rPr>
          <w:b/>
          <w:sz w:val="18"/>
          <w:szCs w:val="18"/>
        </w:rPr>
      </w:pPr>
    </w:p>
    <w:tbl>
      <w:tblPr>
        <w:tblW w:w="5000" w:type="pct"/>
        <w:tblLook w:val="04A0" w:firstRow="1" w:lastRow="0" w:firstColumn="1" w:lastColumn="0" w:noHBand="0" w:noVBand="1"/>
      </w:tblPr>
      <w:tblGrid>
        <w:gridCol w:w="4506"/>
        <w:gridCol w:w="1125"/>
        <w:gridCol w:w="819"/>
        <w:gridCol w:w="702"/>
        <w:gridCol w:w="819"/>
        <w:gridCol w:w="702"/>
        <w:gridCol w:w="903"/>
      </w:tblGrid>
      <w:tr w:rsidR="006F3144" w:rsidRPr="006F3144" w:rsidTr="0015783E">
        <w:trPr>
          <w:trHeight w:val="288"/>
        </w:trPr>
        <w:tc>
          <w:tcPr>
            <w:tcW w:w="1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44" w:rsidRPr="006F3144" w:rsidRDefault="006F3144" w:rsidP="006F3144">
            <w:pPr>
              <w:spacing w:line="240" w:lineRule="auto"/>
              <w:rPr>
                <w:color w:val="000000"/>
                <w:szCs w:val="22"/>
              </w:rPr>
            </w:pPr>
            <w:r w:rsidRPr="006F3144">
              <w:rPr>
                <w:color w:val="000000"/>
                <w:szCs w:val="22"/>
              </w:rPr>
              <w:t> </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2021</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2025</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2030</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2035</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jc w:val="right"/>
              <w:rPr>
                <w:rFonts w:ascii="Calibri" w:hAnsi="Calibri"/>
                <w:b/>
                <w:bCs/>
                <w:color w:val="000000"/>
                <w:szCs w:val="22"/>
              </w:rPr>
            </w:pPr>
            <w:r w:rsidRPr="006F3144">
              <w:rPr>
                <w:rFonts w:ascii="Calibri" w:hAnsi="Calibri"/>
                <w:b/>
                <w:bCs/>
                <w:color w:val="000000"/>
                <w:szCs w:val="22"/>
              </w:rPr>
              <w:t>2040</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6F3144" w:rsidRPr="006F3144" w:rsidRDefault="006F3144" w:rsidP="006F3144">
            <w:pPr>
              <w:spacing w:line="240" w:lineRule="auto"/>
              <w:rPr>
                <w:rFonts w:ascii="Calibri" w:hAnsi="Calibri"/>
                <w:b/>
                <w:bCs/>
                <w:color w:val="000000"/>
                <w:szCs w:val="22"/>
              </w:rPr>
            </w:pPr>
            <w:r w:rsidRPr="006F3144">
              <w:rPr>
                <w:rFonts w:ascii="Calibri" w:hAnsi="Calibri"/>
                <w:b/>
                <w:bCs/>
                <w:color w:val="000000"/>
                <w:szCs w:val="22"/>
              </w:rPr>
              <w:t>Total</w:t>
            </w:r>
          </w:p>
        </w:tc>
      </w:tr>
      <w:tr w:rsidR="006F3144"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bottom"/>
            <w:hideMark/>
          </w:tcPr>
          <w:p w:rsidR="006F3144" w:rsidRPr="0015783E" w:rsidRDefault="006F3144" w:rsidP="006F3144">
            <w:pPr>
              <w:spacing w:line="240" w:lineRule="auto"/>
              <w:rPr>
                <w:rFonts w:ascii="Calibri" w:hAnsi="Calibri"/>
                <w:color w:val="000000"/>
                <w:szCs w:val="22"/>
              </w:rPr>
            </w:pPr>
            <w:r w:rsidRPr="0015783E">
              <w:rPr>
                <w:rFonts w:ascii="Calibri" w:hAnsi="Calibri"/>
                <w:color w:val="000000"/>
                <w:szCs w:val="22"/>
              </w:rPr>
              <w:t> </w:t>
            </w:r>
          </w:p>
        </w:tc>
        <w:tc>
          <w:tcPr>
            <w:tcW w:w="3154" w:type="pct"/>
            <w:gridSpan w:val="6"/>
            <w:tcBorders>
              <w:top w:val="single" w:sz="4" w:space="0" w:color="auto"/>
              <w:left w:val="nil"/>
              <w:bottom w:val="single" w:sz="4" w:space="0" w:color="auto"/>
              <w:right w:val="single" w:sz="4" w:space="0" w:color="auto"/>
            </w:tcBorders>
            <w:shd w:val="clear" w:color="auto" w:fill="auto"/>
            <w:noWrap/>
            <w:vAlign w:val="bottom"/>
            <w:hideMark/>
          </w:tcPr>
          <w:p w:rsidR="006F3144" w:rsidRPr="0015783E" w:rsidRDefault="006F3144" w:rsidP="006F3144">
            <w:pPr>
              <w:spacing w:line="240" w:lineRule="auto"/>
              <w:jc w:val="center"/>
              <w:rPr>
                <w:rFonts w:ascii="Calibri" w:hAnsi="Calibri"/>
                <w:b/>
                <w:bCs/>
                <w:color w:val="000000"/>
                <w:szCs w:val="22"/>
              </w:rPr>
            </w:pPr>
            <w:r w:rsidRPr="0015783E">
              <w:rPr>
                <w:rFonts w:ascii="Calibri" w:hAnsi="Calibri"/>
                <w:b/>
                <w:bCs/>
                <w:color w:val="000000"/>
                <w:szCs w:val="22"/>
              </w:rPr>
              <w:t>$M</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 xml:space="preserve">CO </w:t>
            </w:r>
          </w:p>
        </w:tc>
        <w:tc>
          <w:tcPr>
            <w:tcW w:w="672"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c>
          <w:tcPr>
            <w:tcW w:w="512"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c>
          <w:tcPr>
            <w:tcW w:w="451"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c>
          <w:tcPr>
            <w:tcW w:w="512"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c>
          <w:tcPr>
            <w:tcW w:w="451"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c>
          <w:tcPr>
            <w:tcW w:w="557" w:type="pct"/>
            <w:tcBorders>
              <w:top w:val="nil"/>
              <w:left w:val="nil"/>
              <w:bottom w:val="single" w:sz="4" w:space="0" w:color="auto"/>
              <w:right w:val="single" w:sz="4" w:space="0" w:color="auto"/>
            </w:tcBorders>
            <w:shd w:val="clear" w:color="auto" w:fill="auto"/>
            <w:noWrap/>
            <w:vAlign w:val="bottom"/>
          </w:tcPr>
          <w:p w:rsidR="0015783E" w:rsidRPr="0010593E" w:rsidRDefault="0015783E" w:rsidP="0010593E">
            <w:pPr>
              <w:jc w:val="center"/>
              <w:rPr>
                <w:color w:val="000000"/>
                <w:szCs w:val="22"/>
              </w:rPr>
            </w:pPr>
            <w:r w:rsidRPr="0010593E">
              <w:rPr>
                <w:color w:val="000000"/>
                <w:szCs w:val="22"/>
              </w:rPr>
              <w:t>-</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 xml:space="preserve">NOX </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0.07</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0.02</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0.03</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0.03</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0.03</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0.73</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 xml:space="preserve">PM2.5 </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0.03</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0.04</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0.05</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0.06</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0.06</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0.97</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PM10</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0.54</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0.40</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0.47</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0.30</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0.30</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8.74</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 xml:space="preserve">VOC </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0.01</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0.01</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0.01</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0.01</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0.01</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0.16</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 xml:space="preserve">CO2 </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0.23</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0.24</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0.31</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0.40</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0.45</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6.67</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Total Emissions Savings from VHT Reduction</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0.88</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0.71</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0.87</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0.80</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0.84</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17.27</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Total Emissions Savings at 7% discount ($2016)</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0.66</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0.44</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0.42</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0.34</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0.30</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8.79</w:t>
            </w:r>
          </w:p>
        </w:tc>
      </w:tr>
      <w:tr w:rsidR="0015783E" w:rsidRPr="006F3144" w:rsidTr="0015783E">
        <w:trPr>
          <w:trHeight w:val="288"/>
        </w:trPr>
        <w:tc>
          <w:tcPr>
            <w:tcW w:w="1846" w:type="pct"/>
            <w:tcBorders>
              <w:top w:val="nil"/>
              <w:left w:val="single" w:sz="4" w:space="0" w:color="auto"/>
              <w:bottom w:val="single" w:sz="4" w:space="0" w:color="auto"/>
              <w:right w:val="single" w:sz="4" w:space="0" w:color="auto"/>
            </w:tcBorders>
            <w:shd w:val="clear" w:color="auto" w:fill="auto"/>
            <w:noWrap/>
            <w:vAlign w:val="center"/>
            <w:hideMark/>
          </w:tcPr>
          <w:p w:rsidR="0015783E" w:rsidRPr="0015783E" w:rsidRDefault="0015783E" w:rsidP="006F3144">
            <w:pPr>
              <w:spacing w:line="240" w:lineRule="auto"/>
              <w:rPr>
                <w:color w:val="000000"/>
                <w:szCs w:val="22"/>
              </w:rPr>
            </w:pPr>
            <w:r w:rsidRPr="0015783E">
              <w:rPr>
                <w:color w:val="000000"/>
                <w:szCs w:val="22"/>
              </w:rPr>
              <w:t>Total Emissions Savings at 3% discount ($2016)</w:t>
            </w:r>
          </w:p>
        </w:tc>
        <w:tc>
          <w:tcPr>
            <w:tcW w:w="67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0.76</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0.54</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0.57</w:t>
            </w:r>
          </w:p>
        </w:tc>
        <w:tc>
          <w:tcPr>
            <w:tcW w:w="512"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0.46</w:t>
            </w:r>
          </w:p>
        </w:tc>
        <w:tc>
          <w:tcPr>
            <w:tcW w:w="451"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0.41</w:t>
            </w:r>
          </w:p>
        </w:tc>
        <w:tc>
          <w:tcPr>
            <w:tcW w:w="557" w:type="pct"/>
            <w:tcBorders>
              <w:top w:val="nil"/>
              <w:left w:val="nil"/>
              <w:bottom w:val="single" w:sz="4" w:space="0" w:color="auto"/>
              <w:right w:val="single" w:sz="4" w:space="0" w:color="auto"/>
            </w:tcBorders>
            <w:shd w:val="clear" w:color="auto" w:fill="auto"/>
            <w:noWrap/>
            <w:vAlign w:val="bottom"/>
            <w:hideMark/>
          </w:tcPr>
          <w:p w:rsidR="0015783E" w:rsidRPr="0010593E" w:rsidRDefault="0015783E" w:rsidP="0010593E">
            <w:pPr>
              <w:jc w:val="center"/>
              <w:rPr>
                <w:color w:val="000000"/>
                <w:szCs w:val="22"/>
              </w:rPr>
            </w:pPr>
            <w:r w:rsidRPr="0010593E">
              <w:rPr>
                <w:color w:val="000000"/>
                <w:szCs w:val="22"/>
              </w:rPr>
              <w:t>11.44</w:t>
            </w:r>
          </w:p>
        </w:tc>
      </w:tr>
    </w:tbl>
    <w:p w:rsidR="001A625E" w:rsidRPr="00323D5D" w:rsidRDefault="00F70D29" w:rsidP="001A625E">
      <w:pPr>
        <w:pStyle w:val="BodyText"/>
        <w:spacing w:after="0"/>
        <w:rPr>
          <w:sz w:val="18"/>
          <w:szCs w:val="18"/>
        </w:rPr>
      </w:pPr>
      <w:r>
        <w:rPr>
          <w:sz w:val="18"/>
          <w:szCs w:val="18"/>
        </w:rPr>
        <w:t>S</w:t>
      </w:r>
      <w:r w:rsidR="001A625E" w:rsidRPr="00323D5D">
        <w:rPr>
          <w:sz w:val="18"/>
          <w:szCs w:val="18"/>
        </w:rPr>
        <w:t>ource: Atkins, AECOM</w:t>
      </w:r>
    </w:p>
    <w:p w:rsidR="001A625E" w:rsidRPr="00323D5D" w:rsidRDefault="001A625E" w:rsidP="001A22C0">
      <w:pPr>
        <w:pStyle w:val="BodyText"/>
        <w:jc w:val="left"/>
      </w:pPr>
    </w:p>
    <w:p w:rsidR="00C3525E" w:rsidRDefault="00C3525E" w:rsidP="00C3525E">
      <w:pPr>
        <w:pStyle w:val="Heading3"/>
        <w:rPr>
          <w:rFonts w:ascii="Times New Roman" w:hAnsi="Times New Roman" w:cs="Times New Roman"/>
        </w:rPr>
      </w:pPr>
      <w:bookmarkStart w:id="186" w:name="_Toc448780369"/>
      <w:r w:rsidRPr="00323D5D">
        <w:rPr>
          <w:rFonts w:ascii="Times New Roman" w:hAnsi="Times New Roman" w:cs="Times New Roman"/>
        </w:rPr>
        <w:t>S</w:t>
      </w:r>
      <w:r>
        <w:rPr>
          <w:rFonts w:ascii="Times New Roman" w:hAnsi="Times New Roman" w:cs="Times New Roman"/>
        </w:rPr>
        <w:t>tate of Good Repair</w:t>
      </w:r>
      <w:bookmarkEnd w:id="186"/>
    </w:p>
    <w:tbl>
      <w:tblPr>
        <w:tblW w:w="5000" w:type="pct"/>
        <w:tblLook w:val="04A0" w:firstRow="1" w:lastRow="0" w:firstColumn="1" w:lastColumn="0" w:noHBand="0" w:noVBand="1"/>
      </w:tblPr>
      <w:tblGrid>
        <w:gridCol w:w="5060"/>
        <w:gridCol w:w="2258"/>
        <w:gridCol w:w="2258"/>
      </w:tblGrid>
      <w:tr w:rsidR="002865F6" w:rsidRPr="002865F6" w:rsidTr="002865F6">
        <w:trPr>
          <w:trHeight w:val="288"/>
        </w:trPr>
        <w:tc>
          <w:tcPr>
            <w:tcW w:w="5000" w:type="pct"/>
            <w:gridSpan w:val="3"/>
            <w:tcBorders>
              <w:top w:val="single" w:sz="4" w:space="0" w:color="auto"/>
              <w:left w:val="single" w:sz="4" w:space="0" w:color="auto"/>
              <w:bottom w:val="single" w:sz="4" w:space="0" w:color="auto"/>
              <w:right w:val="single" w:sz="4" w:space="0" w:color="000000"/>
            </w:tcBorders>
            <w:shd w:val="clear" w:color="000000" w:fill="auto"/>
            <w:noWrap/>
            <w:vAlign w:val="bottom"/>
            <w:hideMark/>
          </w:tcPr>
          <w:p w:rsidR="002865F6" w:rsidRPr="002865F6" w:rsidRDefault="002865F6" w:rsidP="002865F6">
            <w:pPr>
              <w:spacing w:line="240" w:lineRule="auto"/>
              <w:jc w:val="center"/>
              <w:rPr>
                <w:b/>
                <w:color w:val="000000"/>
                <w:szCs w:val="22"/>
              </w:rPr>
            </w:pPr>
            <w:r w:rsidRPr="002865F6">
              <w:rPr>
                <w:b/>
                <w:color w:val="000000"/>
                <w:szCs w:val="22"/>
              </w:rPr>
              <w:t xml:space="preserve">State of Good Repair </w:t>
            </w:r>
            <w:r>
              <w:rPr>
                <w:b/>
                <w:color w:val="000000"/>
                <w:szCs w:val="22"/>
              </w:rPr>
              <w:t xml:space="preserve"> Benefits Summary </w:t>
            </w:r>
          </w:p>
        </w:tc>
      </w:tr>
      <w:tr w:rsidR="002865F6" w:rsidRPr="002865F6" w:rsidTr="002865F6">
        <w:trPr>
          <w:trHeight w:val="288"/>
        </w:trPr>
        <w:tc>
          <w:tcPr>
            <w:tcW w:w="2642" w:type="pct"/>
            <w:tcBorders>
              <w:top w:val="nil"/>
              <w:left w:val="single" w:sz="4" w:space="0" w:color="auto"/>
              <w:bottom w:val="single" w:sz="4" w:space="0" w:color="auto"/>
              <w:right w:val="single" w:sz="4" w:space="0" w:color="auto"/>
            </w:tcBorders>
            <w:shd w:val="clear" w:color="000000" w:fill="FFFFFF"/>
            <w:noWrap/>
            <w:vAlign w:val="bottom"/>
          </w:tcPr>
          <w:p w:rsidR="002865F6" w:rsidRPr="002865F6" w:rsidRDefault="002865F6" w:rsidP="002865F6">
            <w:pPr>
              <w:spacing w:line="240" w:lineRule="auto"/>
              <w:rPr>
                <w:color w:val="000000"/>
                <w:szCs w:val="22"/>
              </w:rPr>
            </w:pPr>
          </w:p>
        </w:tc>
        <w:tc>
          <w:tcPr>
            <w:tcW w:w="1179" w:type="pct"/>
            <w:tcBorders>
              <w:top w:val="nil"/>
              <w:left w:val="nil"/>
              <w:bottom w:val="single" w:sz="4" w:space="0" w:color="auto"/>
              <w:right w:val="single" w:sz="4" w:space="0" w:color="auto"/>
            </w:tcBorders>
            <w:shd w:val="clear" w:color="000000" w:fill="FFFFFF"/>
            <w:noWrap/>
            <w:vAlign w:val="bottom"/>
          </w:tcPr>
          <w:p w:rsidR="002865F6" w:rsidRPr="002865F6" w:rsidRDefault="002865F6" w:rsidP="002865F6">
            <w:pPr>
              <w:spacing w:line="240" w:lineRule="auto"/>
              <w:jc w:val="center"/>
              <w:rPr>
                <w:color w:val="000000"/>
                <w:szCs w:val="22"/>
              </w:rPr>
            </w:pPr>
            <w:r w:rsidRPr="002865F6">
              <w:rPr>
                <w:color w:val="000000"/>
                <w:szCs w:val="22"/>
              </w:rPr>
              <w:t>7% Discount ($2016)</w:t>
            </w:r>
          </w:p>
        </w:tc>
        <w:tc>
          <w:tcPr>
            <w:tcW w:w="1179" w:type="pct"/>
            <w:tcBorders>
              <w:top w:val="nil"/>
              <w:left w:val="nil"/>
              <w:bottom w:val="single" w:sz="4" w:space="0" w:color="auto"/>
              <w:right w:val="single" w:sz="4" w:space="0" w:color="auto"/>
            </w:tcBorders>
            <w:shd w:val="clear" w:color="000000" w:fill="FFFFFF"/>
            <w:noWrap/>
            <w:vAlign w:val="bottom"/>
          </w:tcPr>
          <w:p w:rsidR="002865F6" w:rsidRPr="002865F6" w:rsidRDefault="002865F6" w:rsidP="002865F6">
            <w:pPr>
              <w:spacing w:line="240" w:lineRule="auto"/>
              <w:jc w:val="center"/>
              <w:rPr>
                <w:color w:val="000000"/>
                <w:szCs w:val="22"/>
              </w:rPr>
            </w:pPr>
            <w:r w:rsidRPr="002865F6">
              <w:rPr>
                <w:color w:val="000000"/>
                <w:szCs w:val="22"/>
              </w:rPr>
              <w:t>3% Discount ($2016)</w:t>
            </w:r>
          </w:p>
        </w:tc>
      </w:tr>
      <w:tr w:rsidR="002865F6" w:rsidRPr="002865F6" w:rsidTr="002865F6">
        <w:trPr>
          <w:trHeight w:val="288"/>
        </w:trPr>
        <w:tc>
          <w:tcPr>
            <w:tcW w:w="2642"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Maintenance Savings  </w:t>
            </w:r>
          </w:p>
        </w:tc>
        <w:tc>
          <w:tcPr>
            <w:tcW w:w="1179"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15.6</w:t>
            </w:r>
          </w:p>
        </w:tc>
        <w:tc>
          <w:tcPr>
            <w:tcW w:w="1179"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38.0</w:t>
            </w:r>
          </w:p>
        </w:tc>
      </w:tr>
      <w:tr w:rsidR="002865F6" w:rsidRPr="002865F6" w:rsidTr="002865F6">
        <w:trPr>
          <w:trHeight w:val="288"/>
        </w:trPr>
        <w:tc>
          <w:tcPr>
            <w:tcW w:w="2642" w:type="pct"/>
            <w:tcBorders>
              <w:top w:val="nil"/>
              <w:left w:val="single" w:sz="4" w:space="0" w:color="auto"/>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rPr>
                <w:color w:val="000000"/>
                <w:szCs w:val="22"/>
              </w:rPr>
            </w:pPr>
            <w:r w:rsidRPr="002865F6">
              <w:rPr>
                <w:color w:val="000000"/>
                <w:szCs w:val="22"/>
              </w:rPr>
              <w:t xml:space="preserve"> Residual Value  </w:t>
            </w:r>
          </w:p>
        </w:tc>
        <w:tc>
          <w:tcPr>
            <w:tcW w:w="1179"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15.1</w:t>
            </w:r>
          </w:p>
        </w:tc>
        <w:tc>
          <w:tcPr>
            <w:tcW w:w="1179" w:type="pct"/>
            <w:tcBorders>
              <w:top w:val="nil"/>
              <w:left w:val="nil"/>
              <w:bottom w:val="single" w:sz="4" w:space="0" w:color="auto"/>
              <w:right w:val="single" w:sz="4" w:space="0" w:color="auto"/>
            </w:tcBorders>
            <w:shd w:val="clear" w:color="000000" w:fill="FFFFFF"/>
            <w:noWrap/>
            <w:vAlign w:val="bottom"/>
            <w:hideMark/>
          </w:tcPr>
          <w:p w:rsidR="002865F6" w:rsidRPr="002865F6" w:rsidRDefault="002865F6" w:rsidP="002865F6">
            <w:pPr>
              <w:spacing w:line="240" w:lineRule="auto"/>
              <w:jc w:val="center"/>
              <w:rPr>
                <w:color w:val="000000"/>
                <w:szCs w:val="22"/>
              </w:rPr>
            </w:pPr>
            <w:r w:rsidRPr="002865F6">
              <w:rPr>
                <w:color w:val="000000"/>
                <w:szCs w:val="22"/>
              </w:rPr>
              <w:t>$      37.7</w:t>
            </w:r>
          </w:p>
        </w:tc>
      </w:tr>
    </w:tbl>
    <w:p w:rsidR="002865F6" w:rsidRPr="002865F6" w:rsidRDefault="002865F6" w:rsidP="002865F6">
      <w:pPr>
        <w:pStyle w:val="BodyText"/>
      </w:pPr>
    </w:p>
    <w:p w:rsidR="00C3525E" w:rsidRDefault="00C3525E" w:rsidP="00C3525E">
      <w:pPr>
        <w:pStyle w:val="BodyText"/>
      </w:pPr>
      <w:proofErr w:type="gramStart"/>
      <w:r>
        <w:t>State of good repair benefit comprise</w:t>
      </w:r>
      <w:proofErr w:type="gramEnd"/>
      <w:r>
        <w:t xml:space="preserve"> benefits associated with residual value and maintenance savings associated with mode shift to carpooling, transit or bicycle.  </w:t>
      </w:r>
      <w:r w:rsidR="00F70B14">
        <w:t xml:space="preserve">Together, these benefits are valued at </w:t>
      </w:r>
      <w:r w:rsidR="00F70B14" w:rsidRPr="00323D5D">
        <w:t>$</w:t>
      </w:r>
      <w:r w:rsidR="00F70B14">
        <w:t>15.6</w:t>
      </w:r>
      <w:r w:rsidR="00F70B14" w:rsidRPr="00323D5D">
        <w:t xml:space="preserve"> million at a 7% discount rate and $</w:t>
      </w:r>
      <w:r w:rsidR="00F70B14">
        <w:t>38.0</w:t>
      </w:r>
      <w:r w:rsidR="00F70B14" w:rsidRPr="00323D5D">
        <w:t xml:space="preserve"> million at a 3% discount rate.   A summary of the valuation of the </w:t>
      </w:r>
      <w:r w:rsidR="00F70B14">
        <w:t>state of good repair benefits</w:t>
      </w:r>
      <w:r w:rsidR="00F70B14" w:rsidRPr="00323D5D">
        <w:t xml:space="preserve"> due to </w:t>
      </w:r>
      <w:r w:rsidR="00F70B14">
        <w:t xml:space="preserve">residual value and </w:t>
      </w:r>
      <w:r w:rsidR="00F70B14" w:rsidRPr="00323D5D">
        <w:t xml:space="preserve">mode shift is shown in Table </w:t>
      </w:r>
      <w:r w:rsidR="00F70B14">
        <w:t>43</w:t>
      </w:r>
      <w:r w:rsidR="00F70B14" w:rsidRPr="00323D5D">
        <w:t>.</w:t>
      </w:r>
    </w:p>
    <w:p w:rsidR="00F70B14" w:rsidRDefault="00F70B14" w:rsidP="00F70B14">
      <w:pPr>
        <w:pStyle w:val="BodyText"/>
        <w:spacing w:after="0"/>
        <w:jc w:val="center"/>
        <w:rPr>
          <w:b/>
          <w:sz w:val="18"/>
          <w:szCs w:val="18"/>
        </w:rPr>
      </w:pPr>
      <w:r w:rsidRPr="00323D5D">
        <w:rPr>
          <w:b/>
          <w:sz w:val="18"/>
          <w:szCs w:val="18"/>
        </w:rPr>
        <w:t xml:space="preserve">Table </w:t>
      </w:r>
      <w:r>
        <w:rPr>
          <w:b/>
          <w:sz w:val="18"/>
          <w:szCs w:val="18"/>
        </w:rPr>
        <w:t>4</w:t>
      </w:r>
      <w:r w:rsidR="005C7EE3">
        <w:rPr>
          <w:b/>
          <w:sz w:val="18"/>
          <w:szCs w:val="18"/>
        </w:rPr>
        <w:t>3</w:t>
      </w:r>
      <w:r w:rsidRPr="00323D5D">
        <w:rPr>
          <w:b/>
          <w:sz w:val="18"/>
          <w:szCs w:val="18"/>
        </w:rPr>
        <w:t xml:space="preserve">: Valuation </w:t>
      </w:r>
      <w:r>
        <w:rPr>
          <w:b/>
          <w:sz w:val="18"/>
          <w:szCs w:val="18"/>
        </w:rPr>
        <w:t xml:space="preserve">State of Good Repair </w:t>
      </w:r>
      <w:proofErr w:type="gramStart"/>
      <w:r>
        <w:rPr>
          <w:b/>
          <w:sz w:val="18"/>
          <w:szCs w:val="18"/>
        </w:rPr>
        <w:t xml:space="preserve">Benefits </w:t>
      </w:r>
      <w:r w:rsidRPr="00323D5D">
        <w:rPr>
          <w:b/>
          <w:sz w:val="18"/>
          <w:szCs w:val="18"/>
        </w:rPr>
        <w:t xml:space="preserve"> (</w:t>
      </w:r>
      <w:proofErr w:type="gramEnd"/>
      <w:r w:rsidRPr="00323D5D">
        <w:rPr>
          <w:b/>
          <w:sz w:val="18"/>
          <w:szCs w:val="18"/>
        </w:rPr>
        <w:t>2021-2040)</w:t>
      </w:r>
    </w:p>
    <w:tbl>
      <w:tblPr>
        <w:tblW w:w="5000" w:type="pct"/>
        <w:tblLook w:val="04A0" w:firstRow="1" w:lastRow="0" w:firstColumn="1" w:lastColumn="0" w:noHBand="0" w:noVBand="1"/>
      </w:tblPr>
      <w:tblGrid>
        <w:gridCol w:w="5520"/>
        <w:gridCol w:w="714"/>
        <w:gridCol w:w="656"/>
        <w:gridCol w:w="656"/>
        <w:gridCol w:w="656"/>
        <w:gridCol w:w="656"/>
        <w:gridCol w:w="718"/>
      </w:tblGrid>
      <w:tr w:rsidR="005C7EE3" w:rsidRPr="006F3144" w:rsidTr="00F70B14">
        <w:trPr>
          <w:trHeight w:val="288"/>
        </w:trPr>
        <w:tc>
          <w:tcPr>
            <w:tcW w:w="2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14" w:rsidRPr="005C7EE3" w:rsidRDefault="00F70B14" w:rsidP="00B95D49">
            <w:pPr>
              <w:spacing w:line="240" w:lineRule="auto"/>
              <w:rPr>
                <w:color w:val="000000"/>
                <w:szCs w:val="22"/>
              </w:rPr>
            </w:pPr>
            <w:r w:rsidRPr="005C7EE3">
              <w:rPr>
                <w:color w:val="000000"/>
                <w:szCs w:val="22"/>
              </w:rPr>
              <w:t>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2021</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2025</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2030</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2035</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2040</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Total</w:t>
            </w:r>
          </w:p>
        </w:tc>
      </w:tr>
      <w:tr w:rsidR="00F70B14"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bottom"/>
            <w:hideMark/>
          </w:tcPr>
          <w:p w:rsidR="00F70B14" w:rsidRPr="005C7EE3" w:rsidRDefault="00F70B14" w:rsidP="00B95D49">
            <w:pPr>
              <w:spacing w:line="240" w:lineRule="auto"/>
              <w:rPr>
                <w:color w:val="000000"/>
                <w:szCs w:val="22"/>
              </w:rPr>
            </w:pPr>
            <w:r w:rsidRPr="005C7EE3">
              <w:rPr>
                <w:color w:val="000000"/>
                <w:szCs w:val="22"/>
              </w:rPr>
              <w:t> </w:t>
            </w:r>
          </w:p>
        </w:tc>
        <w:tc>
          <w:tcPr>
            <w:tcW w:w="2871" w:type="pct"/>
            <w:gridSpan w:val="6"/>
            <w:tcBorders>
              <w:top w:val="single" w:sz="4" w:space="0" w:color="auto"/>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$M</w:t>
            </w:r>
          </w:p>
        </w:tc>
      </w:tr>
      <w:tr w:rsidR="005C7EE3"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bottom"/>
            <w:hideMark/>
          </w:tcPr>
          <w:p w:rsidR="00F70B14" w:rsidRPr="005C7EE3" w:rsidRDefault="00F70B14">
            <w:pPr>
              <w:rPr>
                <w:color w:val="000000"/>
                <w:szCs w:val="22"/>
              </w:rPr>
            </w:pPr>
            <w:r w:rsidRPr="005C7EE3">
              <w:rPr>
                <w:color w:val="000000"/>
                <w:szCs w:val="22"/>
              </w:rPr>
              <w:t xml:space="preserve"> Maintenance Savings  </w:t>
            </w:r>
          </w:p>
        </w:tc>
        <w:tc>
          <w:tcPr>
            <w:tcW w:w="677"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31"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527"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(0.0)</w:t>
            </w:r>
          </w:p>
        </w:tc>
      </w:tr>
      <w:tr w:rsidR="00F70B14"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bottom"/>
            <w:hideMark/>
          </w:tcPr>
          <w:p w:rsidR="00F70B14" w:rsidRPr="005C7EE3" w:rsidRDefault="00F70B14">
            <w:pPr>
              <w:rPr>
                <w:color w:val="000000"/>
                <w:szCs w:val="22"/>
              </w:rPr>
            </w:pPr>
            <w:r w:rsidRPr="005C7EE3">
              <w:rPr>
                <w:color w:val="000000"/>
                <w:szCs w:val="22"/>
              </w:rPr>
              <w:t xml:space="preserve"> Residual Value  </w:t>
            </w:r>
          </w:p>
        </w:tc>
        <w:tc>
          <w:tcPr>
            <w:tcW w:w="1932" w:type="pct"/>
            <w:gridSpan w:val="4"/>
            <w:tcBorders>
              <w:top w:val="nil"/>
              <w:left w:val="nil"/>
              <w:bottom w:val="single" w:sz="4" w:space="0" w:color="auto"/>
              <w:right w:val="single" w:sz="4" w:space="0" w:color="auto"/>
            </w:tcBorders>
            <w:shd w:val="clear" w:color="auto" w:fill="auto"/>
            <w:noWrap/>
            <w:vAlign w:val="bottom"/>
          </w:tcPr>
          <w:p w:rsidR="00F70B14" w:rsidRPr="005C7EE3" w:rsidRDefault="00F70B14" w:rsidP="005C7EE3">
            <w:pPr>
              <w:spacing w:line="240" w:lineRule="auto"/>
              <w:jc w:val="center"/>
              <w:rPr>
                <w:color w:val="000000"/>
                <w:szCs w:val="22"/>
              </w:rPr>
            </w:pPr>
          </w:p>
        </w:tc>
        <w:tc>
          <w:tcPr>
            <w:tcW w:w="412" w:type="pct"/>
            <w:tcBorders>
              <w:top w:val="nil"/>
              <w:left w:val="nil"/>
              <w:bottom w:val="single" w:sz="4" w:space="0" w:color="auto"/>
              <w:right w:val="single" w:sz="4" w:space="0" w:color="auto"/>
            </w:tcBorders>
            <w:shd w:val="clear" w:color="auto" w:fill="auto"/>
            <w:vAlign w:val="bottom"/>
          </w:tcPr>
          <w:p w:rsidR="00F70B14" w:rsidRPr="005C7EE3" w:rsidRDefault="00F70B14" w:rsidP="005C7EE3">
            <w:pPr>
              <w:spacing w:line="240" w:lineRule="auto"/>
              <w:jc w:val="center"/>
              <w:rPr>
                <w:color w:val="000000"/>
                <w:szCs w:val="22"/>
              </w:rPr>
            </w:pPr>
            <w:r w:rsidRPr="005C7EE3">
              <w:rPr>
                <w:b/>
                <w:bCs/>
                <w:color w:val="000000"/>
                <w:szCs w:val="22"/>
              </w:rPr>
              <w:t>7</w:t>
            </w:r>
            <w:r w:rsidR="005C7EE3" w:rsidRPr="005C7EE3">
              <w:rPr>
                <w:b/>
                <w:bCs/>
                <w:color w:val="000000"/>
                <w:szCs w:val="22"/>
              </w:rPr>
              <w:t>6</w:t>
            </w:r>
            <w:r w:rsidRPr="005C7EE3">
              <w:rPr>
                <w:b/>
                <w:bCs/>
                <w:color w:val="000000"/>
                <w:szCs w:val="22"/>
              </w:rPr>
              <w:t>.6</w:t>
            </w:r>
          </w:p>
        </w:tc>
        <w:tc>
          <w:tcPr>
            <w:tcW w:w="527" w:type="pct"/>
            <w:tcBorders>
              <w:top w:val="nil"/>
              <w:left w:val="nil"/>
              <w:bottom w:val="single" w:sz="4" w:space="0" w:color="auto"/>
              <w:right w:val="single" w:sz="4" w:space="0" w:color="auto"/>
            </w:tcBorders>
            <w:shd w:val="clear" w:color="auto" w:fill="auto"/>
            <w:noWrap/>
            <w:vAlign w:val="bottom"/>
            <w:hideMark/>
          </w:tcPr>
          <w:p w:rsidR="00F70B14" w:rsidRPr="005C7EE3" w:rsidRDefault="005C7EE3" w:rsidP="005C7EE3">
            <w:pPr>
              <w:spacing w:line="240" w:lineRule="auto"/>
              <w:jc w:val="center"/>
              <w:rPr>
                <w:b/>
                <w:bCs/>
                <w:color w:val="000000"/>
                <w:szCs w:val="22"/>
              </w:rPr>
            </w:pPr>
            <w:r w:rsidRPr="005C7EE3">
              <w:rPr>
                <w:b/>
                <w:bCs/>
                <w:color w:val="000000"/>
                <w:szCs w:val="22"/>
              </w:rPr>
              <w:t>76.6</w:t>
            </w:r>
          </w:p>
        </w:tc>
      </w:tr>
      <w:tr w:rsidR="005C7EE3"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F70B14" w:rsidRPr="005C7EE3" w:rsidRDefault="00F70B14" w:rsidP="00F70B14">
            <w:pPr>
              <w:spacing w:line="240" w:lineRule="auto"/>
              <w:rPr>
                <w:color w:val="000000"/>
                <w:szCs w:val="22"/>
              </w:rPr>
            </w:pPr>
            <w:r w:rsidRPr="005C7EE3">
              <w:rPr>
                <w:color w:val="000000"/>
                <w:szCs w:val="22"/>
              </w:rPr>
              <w:t xml:space="preserve">Total State of Good Repair  Savings </w:t>
            </w:r>
          </w:p>
        </w:tc>
        <w:tc>
          <w:tcPr>
            <w:tcW w:w="677"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31"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jc w:val="center"/>
              <w:rPr>
                <w:color w:val="000000"/>
                <w:szCs w:val="22"/>
              </w:rPr>
            </w:pPr>
            <w:r w:rsidRPr="005C7EE3">
              <w:rPr>
                <w:color w:val="000000"/>
                <w:szCs w:val="22"/>
              </w:rPr>
              <w:t>7</w:t>
            </w:r>
            <w:r w:rsidR="005C7EE3" w:rsidRPr="005C7EE3">
              <w:rPr>
                <w:color w:val="000000"/>
                <w:szCs w:val="22"/>
              </w:rPr>
              <w:t>6</w:t>
            </w:r>
            <w:r w:rsidRPr="005C7EE3">
              <w:rPr>
                <w:color w:val="000000"/>
                <w:szCs w:val="22"/>
              </w:rPr>
              <w:t>.4</w:t>
            </w:r>
          </w:p>
        </w:tc>
        <w:tc>
          <w:tcPr>
            <w:tcW w:w="527" w:type="pct"/>
            <w:tcBorders>
              <w:top w:val="nil"/>
              <w:left w:val="nil"/>
              <w:bottom w:val="single" w:sz="4" w:space="0" w:color="auto"/>
              <w:right w:val="single" w:sz="4" w:space="0" w:color="auto"/>
            </w:tcBorders>
            <w:shd w:val="clear" w:color="auto" w:fill="auto"/>
            <w:noWrap/>
            <w:vAlign w:val="bottom"/>
            <w:hideMark/>
          </w:tcPr>
          <w:p w:rsidR="00F70B14" w:rsidRPr="005C7EE3" w:rsidRDefault="00F70B14" w:rsidP="005C7EE3">
            <w:pPr>
              <w:spacing w:line="240" w:lineRule="auto"/>
              <w:jc w:val="center"/>
              <w:rPr>
                <w:b/>
                <w:bCs/>
                <w:color w:val="000000"/>
                <w:szCs w:val="22"/>
              </w:rPr>
            </w:pPr>
            <w:r w:rsidRPr="005C7EE3">
              <w:rPr>
                <w:b/>
                <w:bCs/>
                <w:color w:val="000000"/>
                <w:szCs w:val="22"/>
              </w:rPr>
              <w:t>7</w:t>
            </w:r>
            <w:r w:rsidR="005C7EE3" w:rsidRPr="005C7EE3">
              <w:rPr>
                <w:b/>
                <w:bCs/>
                <w:color w:val="000000"/>
                <w:szCs w:val="22"/>
              </w:rPr>
              <w:t>6</w:t>
            </w:r>
            <w:r w:rsidRPr="005C7EE3">
              <w:rPr>
                <w:b/>
                <w:bCs/>
                <w:color w:val="000000"/>
                <w:szCs w:val="22"/>
              </w:rPr>
              <w:t>.6</w:t>
            </w:r>
          </w:p>
        </w:tc>
      </w:tr>
      <w:tr w:rsidR="005C7EE3"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5C7EE3" w:rsidRPr="005C7EE3" w:rsidRDefault="005C7EE3" w:rsidP="00B95D49">
            <w:pPr>
              <w:spacing w:line="240" w:lineRule="auto"/>
              <w:rPr>
                <w:color w:val="000000"/>
                <w:szCs w:val="22"/>
              </w:rPr>
            </w:pPr>
            <w:r w:rsidRPr="005C7EE3">
              <w:rPr>
                <w:color w:val="000000"/>
                <w:szCs w:val="22"/>
              </w:rPr>
              <w:t>Total State of Good Repair  Savings at 7% discount ($2016)</w:t>
            </w:r>
          </w:p>
        </w:tc>
        <w:tc>
          <w:tcPr>
            <w:tcW w:w="67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31"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15.1</w:t>
            </w:r>
          </w:p>
        </w:tc>
        <w:tc>
          <w:tcPr>
            <w:tcW w:w="5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15.6</w:t>
            </w:r>
          </w:p>
        </w:tc>
      </w:tr>
      <w:tr w:rsidR="005C7EE3" w:rsidRPr="006F3144" w:rsidTr="00F70B14">
        <w:trPr>
          <w:trHeight w:val="288"/>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5C7EE3" w:rsidRPr="005C7EE3" w:rsidRDefault="005C7EE3" w:rsidP="00B95D49">
            <w:pPr>
              <w:spacing w:line="240" w:lineRule="auto"/>
              <w:rPr>
                <w:color w:val="000000"/>
                <w:szCs w:val="22"/>
              </w:rPr>
            </w:pPr>
            <w:r w:rsidRPr="005C7EE3">
              <w:rPr>
                <w:color w:val="000000"/>
                <w:szCs w:val="22"/>
              </w:rPr>
              <w:t>Total State of Good Repair  Savings at 3% discount ($2016)</w:t>
            </w:r>
          </w:p>
        </w:tc>
        <w:tc>
          <w:tcPr>
            <w:tcW w:w="67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0.2</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31"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(0.1)</w:t>
            </w:r>
          </w:p>
        </w:tc>
        <w:tc>
          <w:tcPr>
            <w:tcW w:w="412"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37.6</w:t>
            </w:r>
          </w:p>
        </w:tc>
        <w:tc>
          <w:tcPr>
            <w:tcW w:w="527" w:type="pct"/>
            <w:tcBorders>
              <w:top w:val="nil"/>
              <w:left w:val="nil"/>
              <w:bottom w:val="single" w:sz="4" w:space="0" w:color="auto"/>
              <w:right w:val="single" w:sz="4" w:space="0" w:color="auto"/>
            </w:tcBorders>
            <w:shd w:val="clear" w:color="auto" w:fill="auto"/>
            <w:noWrap/>
            <w:vAlign w:val="bottom"/>
            <w:hideMark/>
          </w:tcPr>
          <w:p w:rsidR="005C7EE3" w:rsidRPr="005C7EE3" w:rsidRDefault="005C7EE3" w:rsidP="005C7EE3">
            <w:pPr>
              <w:jc w:val="center"/>
              <w:rPr>
                <w:color w:val="000000"/>
                <w:szCs w:val="22"/>
              </w:rPr>
            </w:pPr>
            <w:r w:rsidRPr="005C7EE3">
              <w:rPr>
                <w:color w:val="000000"/>
                <w:szCs w:val="22"/>
              </w:rPr>
              <w:t>38.0</w:t>
            </w:r>
          </w:p>
        </w:tc>
      </w:tr>
    </w:tbl>
    <w:p w:rsidR="00F70B14" w:rsidRPr="00323D5D" w:rsidRDefault="00F70B14" w:rsidP="00F70B14">
      <w:pPr>
        <w:pStyle w:val="BodyText"/>
        <w:spacing w:after="0"/>
        <w:rPr>
          <w:sz w:val="18"/>
          <w:szCs w:val="18"/>
        </w:rPr>
      </w:pPr>
      <w:r w:rsidRPr="00323D5D">
        <w:rPr>
          <w:sz w:val="18"/>
          <w:szCs w:val="18"/>
        </w:rPr>
        <w:t>Source: AECOM</w:t>
      </w:r>
    </w:p>
    <w:p w:rsidR="003043AB" w:rsidRDefault="003043AB">
      <w:pPr>
        <w:pStyle w:val="BodyText"/>
      </w:pPr>
    </w:p>
    <w:sectPr w:rsidR="003043AB" w:rsidSect="002865F6">
      <w:headerReference w:type="even" r:id="rId17"/>
      <w:headerReference w:type="default" r:id="rId18"/>
      <w:footerReference w:type="default" r:id="rId19"/>
      <w:headerReference w:type="first" r:id="rId20"/>
      <w:pgSz w:w="12240" w:h="15840" w:code="1"/>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0A" w:rsidRDefault="00E96E0A">
      <w:r>
        <w:separator/>
      </w:r>
    </w:p>
  </w:endnote>
  <w:endnote w:type="continuationSeparator" w:id="0">
    <w:p w:rsidR="00E96E0A" w:rsidRDefault="00E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rsidP="001875EE">
    <w:pPr>
      <w:pStyle w:val="Footer"/>
      <w:pBdr>
        <w:top w:val="single" w:sz="6" w:space="1" w:color="auto"/>
      </w:pBdr>
      <w:tabs>
        <w:tab w:val="clear" w:pos="8820"/>
        <w:tab w:val="right" w:pos="8900"/>
        <w:tab w:val="right" w:pos="9360"/>
      </w:tabs>
    </w:pPr>
    <w:r>
      <w:rPr>
        <w:noProof/>
      </w:rPr>
      <w:drawing>
        <wp:anchor distT="0" distB="0" distL="114300" distR="114300" simplePos="0" relativeHeight="251658240" behindDoc="1" locked="0" layoutInCell="1" allowOverlap="1" wp14:anchorId="1538AE25" wp14:editId="3A7D7CB6">
          <wp:simplePos x="0" y="0"/>
          <wp:positionH relativeFrom="column">
            <wp:posOffset>-76200</wp:posOffset>
          </wp:positionH>
          <wp:positionV relativeFrom="paragraph">
            <wp:posOffset>-29845</wp:posOffset>
          </wp:positionV>
          <wp:extent cx="640080" cy="228600"/>
          <wp:effectExtent l="0" t="0" r="0" b="0"/>
          <wp:wrapTight wrapText="bothSides">
            <wp:wrapPolygon edited="0">
              <wp:start x="2571" y="0"/>
              <wp:lineTo x="643" y="19800"/>
              <wp:lineTo x="20571" y="19800"/>
              <wp:lineTo x="20571" y="0"/>
              <wp:lineTo x="25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28600"/>
                  </a:xfrm>
                  <a:prstGeom prst="rect">
                    <a:avLst/>
                  </a:prstGeom>
                </pic:spPr>
              </pic:pic>
            </a:graphicData>
          </a:graphic>
          <wp14:sizeRelH relativeFrom="margin">
            <wp14:pctWidth>0</wp14:pctWidth>
          </wp14:sizeRelH>
        </wp:anchor>
      </w:drawing>
    </w:r>
    <w:r>
      <w:tab/>
    </w:r>
    <w:r>
      <w:rPr>
        <w:rFonts w:ascii="Times New Roman" w:hAnsi="Times New Roman" w:cs="Times New Roman"/>
        <w:sz w:val="24"/>
      </w:rPr>
      <w:tab/>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FA4CC7">
      <w:rPr>
        <w:rStyle w:val="PageNumber"/>
        <w:rFonts w:cs="Times New Roman"/>
        <w:noProof/>
      </w:rPr>
      <w:t>ii</w:t>
    </w:r>
    <w:r>
      <w:rPr>
        <w:rStyle w:val="PageNumber"/>
        <w:rFonts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rsidP="00B3486B">
    <w:pPr>
      <w:pStyle w:val="Footer"/>
      <w:pBdr>
        <w:top w:val="single" w:sz="6" w:space="1" w:color="auto"/>
      </w:pBdr>
      <w:tabs>
        <w:tab w:val="clear" w:pos="8820"/>
        <w:tab w:val="right" w:pos="8800"/>
        <w:tab w:val="right" w:pos="9360"/>
      </w:tabs>
      <w:spacing w:before="20"/>
    </w:pPr>
    <w:r>
      <w:rPr>
        <w:noProof/>
      </w:rPr>
      <w:drawing>
        <wp:anchor distT="0" distB="0" distL="114300" distR="114300" simplePos="0" relativeHeight="251680768" behindDoc="1" locked="0" layoutInCell="1" allowOverlap="1" wp14:anchorId="3287523F" wp14:editId="0C6B0A50">
          <wp:simplePos x="0" y="0"/>
          <wp:positionH relativeFrom="column">
            <wp:posOffset>-107950</wp:posOffset>
          </wp:positionH>
          <wp:positionV relativeFrom="paragraph">
            <wp:posOffset>-4445</wp:posOffset>
          </wp:positionV>
          <wp:extent cx="640080" cy="228600"/>
          <wp:effectExtent l="0" t="0" r="0" b="0"/>
          <wp:wrapTight wrapText="bothSides">
            <wp:wrapPolygon edited="0">
              <wp:start x="2571" y="0"/>
              <wp:lineTo x="643" y="19800"/>
              <wp:lineTo x="20571" y="19800"/>
              <wp:lineTo x="20571" y="0"/>
              <wp:lineTo x="25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28600"/>
                  </a:xfrm>
                  <a:prstGeom prst="rect">
                    <a:avLst/>
                  </a:prstGeom>
                </pic:spPr>
              </pic:pic>
            </a:graphicData>
          </a:graphic>
          <wp14:sizeRelH relativeFrom="margin">
            <wp14:pctWidth>0</wp14:pctWidth>
          </wp14:sizeRelH>
        </wp:anchor>
      </w:drawing>
    </w:r>
    <w:r>
      <w:tab/>
    </w:r>
    <w:r w:rsidRPr="00B3486B">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0A" w:rsidRDefault="00E96E0A">
      <w:r>
        <w:separator/>
      </w:r>
    </w:p>
  </w:footnote>
  <w:footnote w:type="continuationSeparator" w:id="0">
    <w:p w:rsidR="00E96E0A" w:rsidRDefault="00E96E0A">
      <w:r>
        <w:continuationSeparator/>
      </w:r>
    </w:p>
  </w:footnote>
  <w:footnote w:id="1">
    <w:p w:rsidR="00F14A70" w:rsidRDefault="00F14A70">
      <w:pPr>
        <w:pStyle w:val="FootnoteText"/>
      </w:pPr>
      <w:r>
        <w:rPr>
          <w:rStyle w:val="FootnoteReference"/>
        </w:rPr>
        <w:footnoteRef/>
      </w:r>
      <w:r>
        <w:t xml:space="preserve"> </w:t>
      </w:r>
      <w:proofErr w:type="gramStart"/>
      <w:r>
        <w:t>White House Office of Management and Budget.</w:t>
      </w:r>
      <w:proofErr w:type="gramEnd"/>
      <w:r>
        <w:t xml:space="preserve">  </w:t>
      </w:r>
      <w:r w:rsidRPr="00951651">
        <w:rPr>
          <w:i/>
        </w:rPr>
        <w:t>Circular A-4: Guidelines for Discount Rates for Benefit-Cost Analysis of Federal Programs</w:t>
      </w:r>
      <w:r>
        <w:t xml:space="preserve">. September 17, 2003. Accessed from </w:t>
      </w:r>
      <w:hyperlink r:id="rId1" w:history="1">
        <w:r w:rsidRPr="00951651">
          <w:rPr>
            <w:rStyle w:val="Hyperlink"/>
          </w:rPr>
          <w:t>https://www.whitehouse.gov/omb</w:t>
        </w:r>
        <w:r>
          <w:rPr>
            <w:rStyle w:val="Hyperlink"/>
          </w:rPr>
          <w:t xml:space="preserve"> </w:t>
        </w:r>
        <w:r w:rsidRPr="00951651">
          <w:rPr>
            <w:rStyle w:val="Hyperlink"/>
          </w:rPr>
          <w:t>/circulars_a004_a-4/</w:t>
        </w:r>
      </w:hyperlink>
    </w:p>
  </w:footnote>
  <w:footnote w:id="2">
    <w:p w:rsidR="00F14A70" w:rsidRDefault="00F14A70">
      <w:pPr>
        <w:pStyle w:val="FootnoteText"/>
      </w:pPr>
      <w:r>
        <w:rPr>
          <w:rStyle w:val="FootnoteReference"/>
        </w:rPr>
        <w:footnoteRef/>
      </w:r>
      <w:r>
        <w:t xml:space="preserve"> White House Office of Management and Budget.  </w:t>
      </w:r>
      <w:r w:rsidRPr="00951651">
        <w:rPr>
          <w:i/>
        </w:rPr>
        <w:t>Historical Tables, Table 10.1 – Gross Domestic Product and Deflators Used in the Historical Tables 1940-2021.</w:t>
      </w:r>
      <w:r>
        <w:t xml:space="preserve"> Accessed from </w:t>
      </w:r>
      <w:hyperlink r:id="rId2" w:history="1">
        <w:r w:rsidRPr="00CD4B28">
          <w:rPr>
            <w:rStyle w:val="Hyperlink"/>
          </w:rPr>
          <w:t>https://www.whitehouse.gov/omb/budget /Historicals</w:t>
        </w:r>
      </w:hyperlink>
    </w:p>
  </w:footnote>
  <w:footnote w:id="3">
    <w:p w:rsidR="00F14A70" w:rsidRDefault="00F14A70" w:rsidP="00F3566B">
      <w:pPr>
        <w:pStyle w:val="FootnoteText"/>
      </w:pPr>
      <w:r>
        <w:rPr>
          <w:rStyle w:val="FootnoteReference"/>
        </w:rPr>
        <w:footnoteRef/>
      </w:r>
      <w:r>
        <w:t xml:space="preserve"> Atkins. </w:t>
      </w:r>
      <w:r w:rsidRPr="00F3566B">
        <w:rPr>
          <w:i/>
        </w:rPr>
        <w:t>Poudre River Trail Connection: Projected Commuter Bicycling Rate</w:t>
      </w:r>
      <w:r>
        <w:t>. April 2014</w:t>
      </w:r>
    </w:p>
  </w:footnote>
  <w:footnote w:id="4">
    <w:p w:rsidR="00F14A70" w:rsidRDefault="00F14A70" w:rsidP="004803AA">
      <w:pPr>
        <w:pStyle w:val="FootnoteText"/>
      </w:pPr>
      <w:r>
        <w:rPr>
          <w:rStyle w:val="FootnoteReference"/>
        </w:rPr>
        <w:footnoteRef/>
      </w:r>
      <w:r>
        <w:t xml:space="preserve"> </w:t>
      </w:r>
      <w:proofErr w:type="gramStart"/>
      <w:r>
        <w:t>United State Census Bureau.</w:t>
      </w:r>
      <w:proofErr w:type="gramEnd"/>
      <w:r>
        <w:t xml:space="preserve">  </w:t>
      </w:r>
      <w:proofErr w:type="gramStart"/>
      <w:r w:rsidRPr="004803AA">
        <w:rPr>
          <w:i/>
        </w:rPr>
        <w:t>Longitudinal Employer-Household Dynamics (LEHD) Origin-Destination Employment Statistics (LODES</w:t>
      </w:r>
      <w:r>
        <w:rPr>
          <w:i/>
        </w:rPr>
        <w:t>).</w:t>
      </w:r>
      <w:proofErr w:type="gramEnd"/>
      <w:r>
        <w:rPr>
          <w:i/>
        </w:rPr>
        <w:t xml:space="preserve"> </w:t>
      </w:r>
      <w:proofErr w:type="gramStart"/>
      <w:r>
        <w:t>2014 database.</w:t>
      </w:r>
      <w:proofErr w:type="gramEnd"/>
    </w:p>
    <w:p w:rsidR="00F14A70" w:rsidRPr="004803AA" w:rsidRDefault="00F14A70" w:rsidP="004803AA">
      <w:pPr>
        <w:pStyle w:val="FootnoteText"/>
      </w:pPr>
      <w:proofErr w:type="gramStart"/>
      <w:r>
        <w:t>United State Census Bureau.</w:t>
      </w:r>
      <w:proofErr w:type="gramEnd"/>
      <w:r>
        <w:t xml:space="preserve"> </w:t>
      </w:r>
      <w:proofErr w:type="gramStart"/>
      <w:r w:rsidRPr="004803AA">
        <w:rPr>
          <w:i/>
        </w:rPr>
        <w:t>American Community Survey</w:t>
      </w:r>
      <w:r>
        <w:t>.</w:t>
      </w:r>
      <w:proofErr w:type="gramEnd"/>
      <w:r>
        <w:t xml:space="preserve"> 2013</w:t>
      </w:r>
    </w:p>
  </w:footnote>
  <w:footnote w:id="5">
    <w:p w:rsidR="00F14A70" w:rsidRPr="00E67DB0" w:rsidRDefault="00F14A70" w:rsidP="00E67DB0">
      <w:pPr>
        <w:pStyle w:val="FootnoteText"/>
      </w:pPr>
      <w:r>
        <w:rPr>
          <w:rStyle w:val="FootnoteReference"/>
        </w:rPr>
        <w:footnoteRef/>
      </w:r>
      <w:r>
        <w:t xml:space="preserve"> </w:t>
      </w:r>
      <w:proofErr w:type="gramStart"/>
      <w:r>
        <w:t>United States Department of Transportation.</w:t>
      </w:r>
      <w:proofErr w:type="gramEnd"/>
      <w:r>
        <w:t xml:space="preserve"> </w:t>
      </w:r>
      <w:r w:rsidRPr="00E67DB0">
        <w:rPr>
          <w:i/>
        </w:rPr>
        <w:t>Revised Departmental Guidance on Valuation  of Travel Time in Economic Analysis</w:t>
      </w:r>
      <w:r>
        <w:t xml:space="preserve">. 2014. Accessed from </w:t>
      </w:r>
      <w:hyperlink r:id="rId3" w:history="1">
        <w:r w:rsidRPr="00CD4B28">
          <w:rPr>
            <w:rStyle w:val="Hyperlink"/>
          </w:rPr>
          <w:t>https://www.transportation.gov/sites/dot.gov/files/docs/BCA%20 Resource%20Guide%202016.pdf</w:t>
        </w:r>
      </w:hyperlink>
    </w:p>
  </w:footnote>
  <w:footnote w:id="6">
    <w:p w:rsidR="00F14A70" w:rsidRPr="009A2E76" w:rsidRDefault="00F14A70">
      <w:pPr>
        <w:pStyle w:val="FootnoteText"/>
      </w:pPr>
      <w:r>
        <w:rPr>
          <w:rStyle w:val="FootnoteReference"/>
        </w:rPr>
        <w:footnoteRef/>
      </w:r>
      <w:r>
        <w:t xml:space="preserve"> Colorado Department of Transportation. </w:t>
      </w:r>
      <w:r>
        <w:rPr>
          <w:i/>
        </w:rPr>
        <w:t xml:space="preserve"> State Highway Freight Plan.</w:t>
      </w:r>
      <w:r>
        <w:t xml:space="preserve"> 2015. Accessed from </w:t>
      </w:r>
      <w:hyperlink w:history="1">
        <w:r w:rsidRPr="00A76317">
          <w:rPr>
            <w:rStyle w:val="Hyperlink"/>
          </w:rPr>
          <w:t>http://colorado transportationmatters.com/wp-content/uploads/2013/04/Colorado-State-Highway-Freight-Plan.pdf</w:t>
        </w:r>
      </w:hyperlink>
    </w:p>
  </w:footnote>
  <w:footnote w:id="7">
    <w:p w:rsidR="00F14A70" w:rsidRPr="00D319D4" w:rsidRDefault="00F14A70" w:rsidP="00D319D4">
      <w:pPr>
        <w:pStyle w:val="FootnoteText"/>
      </w:pPr>
      <w:r>
        <w:rPr>
          <w:rStyle w:val="FootnoteReference"/>
        </w:rPr>
        <w:footnoteRef/>
      </w:r>
      <w:r>
        <w:t xml:space="preserve"> American Transportation Research Institute. An Analysis of the Operational Costs of Trucking.  2015. Accessed from </w:t>
      </w:r>
      <w:hyperlink r:id="rId4" w:history="1">
        <w:r w:rsidRPr="00D319D4">
          <w:rPr>
            <w:rStyle w:val="Hyperlink"/>
          </w:rPr>
          <w:t>http://atri-online.org/wp-content/uploads/2015/09/ATRI-Operational-Costs-of-Trucking-2015-FINAL-09-2015.pdf</w:t>
        </w:r>
      </w:hyperlink>
      <w:r>
        <w:t xml:space="preserve"> </w:t>
      </w:r>
    </w:p>
  </w:footnote>
  <w:footnote w:id="8">
    <w:p w:rsidR="00F14A70" w:rsidRPr="00A93B4E" w:rsidRDefault="00F14A70">
      <w:pPr>
        <w:pStyle w:val="FootnoteText"/>
      </w:pPr>
      <w:r>
        <w:rPr>
          <w:rStyle w:val="FootnoteReference"/>
        </w:rPr>
        <w:footnoteRef/>
      </w:r>
      <w:r>
        <w:t xml:space="preserve"> </w:t>
      </w:r>
      <w:proofErr w:type="gramStart"/>
      <w:r>
        <w:t>Bureau of Transportation Statistics.</w:t>
      </w:r>
      <w:proofErr w:type="gramEnd"/>
      <w:r>
        <w:t xml:space="preserve"> </w:t>
      </w:r>
      <w:r>
        <w:rPr>
          <w:i/>
        </w:rPr>
        <w:t>Table 2-17: Motor Safety Data.</w:t>
      </w:r>
      <w:r>
        <w:t xml:space="preserve"> </w:t>
      </w:r>
      <w:proofErr w:type="gramStart"/>
      <w:r>
        <w:t>Updated March 2015.</w:t>
      </w:r>
      <w:proofErr w:type="gramEnd"/>
      <w:r>
        <w:t xml:space="preserve"> Accessed from </w:t>
      </w:r>
      <w:hyperlink w:history="1">
        <w:r w:rsidRPr="00A93B4E">
          <w:rPr>
            <w:rStyle w:val="Hyperlink"/>
          </w:rPr>
          <w:t>http:// w ww.rita.dot.gov/bts/sites/rita.dot.gov.bts/files/publications/national_transportation_statistics/html/table_02_17.html</w:t>
        </w:r>
      </w:hyperlink>
    </w:p>
  </w:footnote>
  <w:footnote w:id="9">
    <w:p w:rsidR="00F14A70" w:rsidRPr="00A93B4E" w:rsidRDefault="00F14A70">
      <w:pPr>
        <w:pStyle w:val="FootnoteText"/>
      </w:pPr>
      <w:r>
        <w:rPr>
          <w:rStyle w:val="FootnoteReference"/>
        </w:rPr>
        <w:footnoteRef/>
      </w:r>
      <w:r>
        <w:t xml:space="preserve"> </w:t>
      </w:r>
      <w:proofErr w:type="gramStart"/>
      <w:r>
        <w:t>Federal Highway Administration.</w:t>
      </w:r>
      <w:proofErr w:type="gramEnd"/>
      <w:r>
        <w:t xml:space="preserve"> </w:t>
      </w:r>
      <w:r>
        <w:rPr>
          <w:i/>
        </w:rPr>
        <w:t xml:space="preserve"> </w:t>
      </w:r>
      <w:proofErr w:type="gramStart"/>
      <w:r>
        <w:rPr>
          <w:i/>
        </w:rPr>
        <w:t>Transit Incidents, Fatalities and Injuries.</w:t>
      </w:r>
      <w:proofErr w:type="gramEnd"/>
      <w:r>
        <w:rPr>
          <w:i/>
        </w:rPr>
        <w:t xml:space="preserve"> </w:t>
      </w:r>
      <w:r>
        <w:t xml:space="preserve"> </w:t>
      </w:r>
      <w:proofErr w:type="gramStart"/>
      <w:r>
        <w:t>Modified 2014.</w:t>
      </w:r>
      <w:proofErr w:type="gramEnd"/>
      <w:r>
        <w:t xml:space="preserve"> Accessed from </w:t>
      </w:r>
      <w:hyperlink r:id="rId5" w:history="1">
        <w:r w:rsidRPr="00A93B4E">
          <w:rPr>
            <w:rStyle w:val="Hyperlink"/>
          </w:rPr>
          <w:t>https://www.fhwa.dot.gov/policy/2013cpr/chap4.cfm</w:t>
        </w:r>
      </w:hyperlink>
    </w:p>
  </w:footnote>
  <w:footnote w:id="10">
    <w:p w:rsidR="00F14A70" w:rsidRPr="0060059E" w:rsidRDefault="00F14A70" w:rsidP="00C424AB">
      <w:pPr>
        <w:pStyle w:val="FootnoteText"/>
        <w:rPr>
          <w:i/>
        </w:rPr>
      </w:pPr>
      <w:r>
        <w:rPr>
          <w:rStyle w:val="FootnoteReference"/>
        </w:rPr>
        <w:footnoteRef/>
      </w:r>
      <w:r>
        <w:t xml:space="preserve"> </w:t>
      </w:r>
      <w:proofErr w:type="gramStart"/>
      <w:r>
        <w:t>Environmental Protection Agency.</w:t>
      </w:r>
      <w:proofErr w:type="gramEnd"/>
      <w:r>
        <w:t xml:space="preserve"> </w:t>
      </w:r>
      <w:r>
        <w:rPr>
          <w:i/>
        </w:rPr>
        <w:t xml:space="preserve"> Average In-Use Emissions from Heavy Duty Trucks.</w:t>
      </w:r>
      <w:r>
        <w:t xml:space="preserve"> 2008. Accessed from</w:t>
      </w:r>
      <w:r>
        <w:rPr>
          <w:i/>
        </w:rPr>
        <w:t xml:space="preserve"> </w:t>
      </w:r>
      <w:hyperlink r:id="rId6" w:history="1">
        <w:r w:rsidRPr="0060059E">
          <w:rPr>
            <w:rStyle w:val="Hyperlink"/>
            <w:i/>
          </w:rPr>
          <w:t>https://www3.epa.gov/otaq/consumer/420f08025.pdf</w:t>
        </w:r>
      </w:hyperlink>
    </w:p>
  </w:footnote>
  <w:footnote w:id="11">
    <w:p w:rsidR="00F14A70" w:rsidRPr="00CC311F" w:rsidRDefault="00F14A70" w:rsidP="00C424AB">
      <w:pPr>
        <w:pStyle w:val="FootnoteText"/>
      </w:pPr>
      <w:r>
        <w:rPr>
          <w:rStyle w:val="FootnoteReference"/>
        </w:rPr>
        <w:footnoteRef/>
      </w:r>
      <w:r>
        <w:t xml:space="preserve"> United States Department of Transportation. </w:t>
      </w:r>
      <w:r>
        <w:rPr>
          <w:i/>
        </w:rPr>
        <w:t>New and Small Starts Evaluation and Rating Process: Final Policy Guidance.</w:t>
      </w:r>
      <w:r>
        <w:t xml:space="preserve"> 2013. </w:t>
      </w:r>
    </w:p>
  </w:footnote>
  <w:footnote w:id="12">
    <w:p w:rsidR="00F14A70" w:rsidRDefault="00F14A70">
      <w:pPr>
        <w:pStyle w:val="FootnoteText"/>
      </w:pPr>
      <w:r>
        <w:rPr>
          <w:rStyle w:val="FootnoteReference"/>
        </w:rPr>
        <w:footnoteRef/>
      </w:r>
      <w:r>
        <w:t xml:space="preserve"> As recommended in the 2016 TIGER BCA Guidance </w:t>
      </w:r>
    </w:p>
  </w:footnote>
  <w:footnote w:id="13">
    <w:p w:rsidR="00F14A70" w:rsidRDefault="00F14A70">
      <w:pPr>
        <w:pStyle w:val="FootnoteText"/>
      </w:pPr>
      <w:r>
        <w:rPr>
          <w:rStyle w:val="FootnoteReference"/>
        </w:rPr>
        <w:footnoteRef/>
      </w:r>
      <w:r>
        <w:t xml:space="preserve"> </w:t>
      </w:r>
      <w:proofErr w:type="gramStart"/>
      <w:r>
        <w:t>National Highway Traffic and Safety Administration.</w:t>
      </w:r>
      <w:proofErr w:type="gramEnd"/>
      <w:r>
        <w:t xml:space="preserve"> </w:t>
      </w:r>
      <w:r>
        <w:rPr>
          <w:i/>
        </w:rPr>
        <w:t xml:space="preserve"> Corporate Average Fuel Economy for MY2017-2025 Passenger Cars and Light Trucks</w:t>
      </w:r>
      <w:r>
        <w:t xml:space="preserve">. 2012 (page 922).  Accessed from </w:t>
      </w:r>
      <w:hyperlink r:id="rId7" w:history="1">
        <w:r w:rsidRPr="008E74EC">
          <w:rPr>
            <w:rStyle w:val="Hyperlink"/>
          </w:rPr>
          <w:t>http://www.nhtsa.gov/staticfiles/rulemaking /pdf/cafe/FRIA_2017-2025.pdf</w:t>
        </w:r>
      </w:hyperlink>
      <w:r>
        <w:t xml:space="preserve"> </w:t>
      </w:r>
    </w:p>
  </w:footnote>
  <w:footnote w:id="14">
    <w:p w:rsidR="00F14A70" w:rsidRDefault="00F14A70" w:rsidP="002E690F">
      <w:pPr>
        <w:pStyle w:val="FootnoteText"/>
      </w:pPr>
      <w:r>
        <w:rPr>
          <w:rStyle w:val="FootnoteReference"/>
        </w:rPr>
        <w:footnoteRef/>
      </w:r>
      <w:r>
        <w:t xml:space="preserve"> White House Office of Management and Budget. </w:t>
      </w:r>
      <w:r w:rsidRPr="002E690F">
        <w:rPr>
          <w:i/>
        </w:rPr>
        <w:t>Technical Support Document: Technical Update of the Social Cost of Carbon for Regulatory Impact Analysis Under Executive Order 12866: Annual SCC Values: 2010-2050</w:t>
      </w:r>
      <w:r>
        <w:t xml:space="preserve">. 2013. Accessed from </w:t>
      </w:r>
      <w:hyperlink r:id="rId8" w:history="1">
        <w:r w:rsidRPr="002E690F">
          <w:rPr>
            <w:rStyle w:val="Hyperlink"/>
          </w:rPr>
          <w:t>http://www.whitehouse.gov/sites/default/files/omb/assets/inforeg/technical-update-social-cost-of-carbon-for-regulator-impact-analysis.pdf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Section"/>
      <w:pBdr>
        <w:bottom w:val="single" w:sz="6" w:space="1" w:color="auto"/>
      </w:pBdr>
      <w:tabs>
        <w:tab w:val="right" w:pos="9360"/>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Pr="00947D40" w:rsidRDefault="00F14A70" w:rsidP="00947D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0" w:rsidRDefault="00F1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10F070"/>
    <w:lvl w:ilvl="0">
      <w:start w:val="1"/>
      <w:numFmt w:val="bullet"/>
      <w:pStyle w:val="ListBulletSingle"/>
      <w:lvlText w:val=""/>
      <w:lvlJc w:val="left"/>
      <w:pPr>
        <w:tabs>
          <w:tab w:val="num" w:pos="720"/>
        </w:tabs>
        <w:ind w:left="720" w:hanging="360"/>
      </w:pPr>
      <w:rPr>
        <w:rFonts w:ascii="Symbol" w:hAnsi="Symbol" w:hint="default"/>
      </w:rPr>
    </w:lvl>
  </w:abstractNum>
  <w:abstractNum w:abstractNumId="1">
    <w:nsid w:val="FFFFFFFB"/>
    <w:multiLevelType w:val="multilevel"/>
    <w:tmpl w:val="F782DF3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2245564"/>
    <w:multiLevelType w:val="multilevel"/>
    <w:tmpl w:val="87A67B34"/>
    <w:lvl w:ilvl="0">
      <w:start w:val="1"/>
      <w:numFmt w:val="decimal"/>
      <w:lvlText w:val="Section %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4CA72FC"/>
    <w:multiLevelType w:val="hybridMultilevel"/>
    <w:tmpl w:val="083E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831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8D737E"/>
    <w:multiLevelType w:val="hybridMultilevel"/>
    <w:tmpl w:val="0EE0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742FD"/>
    <w:multiLevelType w:val="hybridMultilevel"/>
    <w:tmpl w:val="DA0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94B1F"/>
    <w:multiLevelType w:val="hybridMultilevel"/>
    <w:tmpl w:val="3CE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37A9C"/>
    <w:multiLevelType w:val="hybridMultilevel"/>
    <w:tmpl w:val="105AB90A"/>
    <w:lvl w:ilvl="0" w:tplc="DFF41B9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01221"/>
    <w:multiLevelType w:val="hybridMultilevel"/>
    <w:tmpl w:val="D9D08BD8"/>
    <w:lvl w:ilvl="0" w:tplc="85E412F0">
      <w:start w:val="1"/>
      <w:numFmt w:val="bullet"/>
      <w:pStyle w:val="ListSub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13D7E3D"/>
    <w:multiLevelType w:val="multilevel"/>
    <w:tmpl w:val="91B06F32"/>
    <w:lvl w:ilvl="0">
      <w:start w:val="1"/>
      <w:numFmt w:val="decimal"/>
      <w:pStyle w:val="Heading1"/>
      <w:lvlText w:val="Section %1"/>
      <w:lvlJc w:val="left"/>
      <w:pPr>
        <w:tabs>
          <w:tab w:val="num" w:pos="180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360"/>
        </w:tabs>
        <w:ind w:left="0" w:firstLine="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decimal"/>
      <w:pStyle w:val="Heading5"/>
      <w:lvlText w:val="%1.%2.%3.%4.%5"/>
      <w:lvlJc w:val="left"/>
      <w:pPr>
        <w:tabs>
          <w:tab w:val="num" w:pos="5670"/>
        </w:tabs>
        <w:ind w:left="4590" w:firstLine="0"/>
      </w:pPr>
      <w:rPr>
        <w:rFonts w:hint="default"/>
      </w:rPr>
    </w:lvl>
    <w:lvl w:ilvl="5">
      <w:start w:val="1"/>
      <w:numFmt w:val="decimal"/>
      <w:pStyle w:val="Heading6"/>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488146F4"/>
    <w:multiLevelType w:val="multilevel"/>
    <w:tmpl w:val="1EF04E3C"/>
    <w:lvl w:ilvl="0">
      <w:start w:val="1"/>
      <w:numFmt w:val="none"/>
      <w:lvlText w:val=""/>
      <w:lvlJc w:val="left"/>
      <w:pPr>
        <w:tabs>
          <w:tab w:val="num" w:pos="1080"/>
        </w:tabs>
        <w:ind w:left="36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720"/>
        </w:tabs>
        <w:ind w:left="360" w:firstLine="0"/>
      </w:pPr>
      <w:rPr>
        <w:rFonts w:hint="default"/>
      </w:rPr>
    </w:lvl>
    <w:lvl w:ilvl="3">
      <w:start w:val="1"/>
      <w:numFmt w:val="decimal"/>
      <w:lvlText w:val="%1.%2.%3.%4"/>
      <w:lvlJc w:val="left"/>
      <w:pPr>
        <w:tabs>
          <w:tab w:val="num" w:pos="1080"/>
        </w:tabs>
        <w:ind w:left="360" w:firstLine="0"/>
      </w:pPr>
      <w:rPr>
        <w:rFonts w:hint="default"/>
      </w:rPr>
    </w:lvl>
    <w:lvl w:ilvl="4">
      <w:start w:val="1"/>
      <w:numFmt w:val="decimal"/>
      <w:lvlText w:val="%1.%2.%3.%4.%5"/>
      <w:lvlJc w:val="left"/>
      <w:pPr>
        <w:tabs>
          <w:tab w:val="num" w:pos="108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2">
    <w:nsid w:val="503D7709"/>
    <w:multiLevelType w:val="hybridMultilevel"/>
    <w:tmpl w:val="E38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9559E"/>
    <w:multiLevelType w:val="hybridMultilevel"/>
    <w:tmpl w:val="9B6E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20997"/>
    <w:multiLevelType w:val="hybridMultilevel"/>
    <w:tmpl w:val="33B2BD9E"/>
    <w:lvl w:ilvl="0" w:tplc="1190017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153696"/>
    <w:multiLevelType w:val="hybridMultilevel"/>
    <w:tmpl w:val="90720A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56CF0"/>
    <w:multiLevelType w:val="multilevel"/>
    <w:tmpl w:val="64A8E0B8"/>
    <w:lvl w:ilvl="0">
      <w:start w:val="1"/>
      <w:numFmt w:val="decimal"/>
      <w:lvlText w:val="Section %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6A797074"/>
    <w:multiLevelType w:val="hybridMultilevel"/>
    <w:tmpl w:val="F75C1674"/>
    <w:lvl w:ilvl="0" w:tplc="C90A2A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9E3C75"/>
    <w:multiLevelType w:val="hybridMultilevel"/>
    <w:tmpl w:val="A6BAE0DC"/>
    <w:lvl w:ilvl="0" w:tplc="2C729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5"/>
  </w:num>
  <w:num w:numId="4">
    <w:abstractNumId w:val="0"/>
  </w:num>
  <w:num w:numId="5">
    <w:abstractNumId w:val="9"/>
  </w:num>
  <w:num w:numId="6">
    <w:abstractNumId w:val="16"/>
  </w:num>
  <w:num w:numId="7">
    <w:abstractNumId w:val="11"/>
  </w:num>
  <w:num w:numId="8">
    <w:abstractNumId w:val="2"/>
  </w:num>
  <w:num w:numId="9">
    <w:abstractNumId w:val="10"/>
  </w:num>
  <w:num w:numId="10">
    <w:abstractNumId w:val="14"/>
  </w:num>
  <w:num w:numId="11">
    <w:abstractNumId w:val="1"/>
  </w:num>
  <w:num w:numId="12">
    <w:abstractNumId w:val="4"/>
  </w:num>
  <w:num w:numId="13">
    <w:abstractNumId w:val="3"/>
  </w:num>
  <w:num w:numId="14">
    <w:abstractNumId w:val="17"/>
  </w:num>
  <w:num w:numId="15">
    <w:abstractNumId w:val="15"/>
  </w:num>
  <w:num w:numId="16">
    <w:abstractNumId w:val="13"/>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D1"/>
    <w:rsid w:val="00000D34"/>
    <w:rsid w:val="000018D7"/>
    <w:rsid w:val="00002F3B"/>
    <w:rsid w:val="0000624B"/>
    <w:rsid w:val="00023173"/>
    <w:rsid w:val="00031F9D"/>
    <w:rsid w:val="0003411C"/>
    <w:rsid w:val="000367EA"/>
    <w:rsid w:val="00036862"/>
    <w:rsid w:val="00043478"/>
    <w:rsid w:val="00044662"/>
    <w:rsid w:val="000509FE"/>
    <w:rsid w:val="00052ACB"/>
    <w:rsid w:val="0005323D"/>
    <w:rsid w:val="00055A7D"/>
    <w:rsid w:val="0006016B"/>
    <w:rsid w:val="00062F09"/>
    <w:rsid w:val="00062FF8"/>
    <w:rsid w:val="00063D7B"/>
    <w:rsid w:val="000702B7"/>
    <w:rsid w:val="000771E0"/>
    <w:rsid w:val="000806DC"/>
    <w:rsid w:val="0008580E"/>
    <w:rsid w:val="000A26AC"/>
    <w:rsid w:val="000C30E0"/>
    <w:rsid w:val="000C4B88"/>
    <w:rsid w:val="000C61CE"/>
    <w:rsid w:val="000D088B"/>
    <w:rsid w:val="000D0CAC"/>
    <w:rsid w:val="000D5E90"/>
    <w:rsid w:val="000E7D8C"/>
    <w:rsid w:val="000F0C4F"/>
    <w:rsid w:val="000F1459"/>
    <w:rsid w:val="000F1A5D"/>
    <w:rsid w:val="000F25BE"/>
    <w:rsid w:val="000F2B19"/>
    <w:rsid w:val="000F6161"/>
    <w:rsid w:val="0010593E"/>
    <w:rsid w:val="00113B88"/>
    <w:rsid w:val="00114E33"/>
    <w:rsid w:val="001261CE"/>
    <w:rsid w:val="001434B7"/>
    <w:rsid w:val="00144704"/>
    <w:rsid w:val="00145FD8"/>
    <w:rsid w:val="0015783E"/>
    <w:rsid w:val="00160674"/>
    <w:rsid w:val="00160EDE"/>
    <w:rsid w:val="0016458A"/>
    <w:rsid w:val="00173E82"/>
    <w:rsid w:val="00176576"/>
    <w:rsid w:val="00177294"/>
    <w:rsid w:val="00180D1D"/>
    <w:rsid w:val="0018363D"/>
    <w:rsid w:val="00184258"/>
    <w:rsid w:val="00184D21"/>
    <w:rsid w:val="00186D9B"/>
    <w:rsid w:val="001875EE"/>
    <w:rsid w:val="00191D80"/>
    <w:rsid w:val="00197821"/>
    <w:rsid w:val="001A22C0"/>
    <w:rsid w:val="001A6148"/>
    <w:rsid w:val="001A625E"/>
    <w:rsid w:val="001A6F1C"/>
    <w:rsid w:val="001B3AFD"/>
    <w:rsid w:val="001E711C"/>
    <w:rsid w:val="001F3FA8"/>
    <w:rsid w:val="0020508C"/>
    <w:rsid w:val="002072FC"/>
    <w:rsid w:val="00216881"/>
    <w:rsid w:val="00217D6B"/>
    <w:rsid w:val="00222DAA"/>
    <w:rsid w:val="0022431C"/>
    <w:rsid w:val="00226E86"/>
    <w:rsid w:val="00236357"/>
    <w:rsid w:val="00242188"/>
    <w:rsid w:val="00242956"/>
    <w:rsid w:val="00263C30"/>
    <w:rsid w:val="00270775"/>
    <w:rsid w:val="00271DF4"/>
    <w:rsid w:val="00280BE6"/>
    <w:rsid w:val="00282FC6"/>
    <w:rsid w:val="002865F6"/>
    <w:rsid w:val="0029208D"/>
    <w:rsid w:val="00295021"/>
    <w:rsid w:val="002A4349"/>
    <w:rsid w:val="002A51FD"/>
    <w:rsid w:val="002B0734"/>
    <w:rsid w:val="002E0CB1"/>
    <w:rsid w:val="002E690F"/>
    <w:rsid w:val="002F77DC"/>
    <w:rsid w:val="003043AB"/>
    <w:rsid w:val="003110A4"/>
    <w:rsid w:val="00323D5D"/>
    <w:rsid w:val="00325092"/>
    <w:rsid w:val="003266B1"/>
    <w:rsid w:val="003319DE"/>
    <w:rsid w:val="003356AC"/>
    <w:rsid w:val="003357C9"/>
    <w:rsid w:val="00352901"/>
    <w:rsid w:val="0035726B"/>
    <w:rsid w:val="00367AEB"/>
    <w:rsid w:val="00373577"/>
    <w:rsid w:val="00373DCA"/>
    <w:rsid w:val="00375579"/>
    <w:rsid w:val="00380D1D"/>
    <w:rsid w:val="00383D01"/>
    <w:rsid w:val="00384B93"/>
    <w:rsid w:val="00392B51"/>
    <w:rsid w:val="00394301"/>
    <w:rsid w:val="003975F1"/>
    <w:rsid w:val="003A25D1"/>
    <w:rsid w:val="003A3947"/>
    <w:rsid w:val="003B3E40"/>
    <w:rsid w:val="003C3BD3"/>
    <w:rsid w:val="003D20AB"/>
    <w:rsid w:val="003D33EB"/>
    <w:rsid w:val="003D5C9B"/>
    <w:rsid w:val="003E0180"/>
    <w:rsid w:val="003E0565"/>
    <w:rsid w:val="003E4E1A"/>
    <w:rsid w:val="003E72C2"/>
    <w:rsid w:val="003F606D"/>
    <w:rsid w:val="00400158"/>
    <w:rsid w:val="00420FF0"/>
    <w:rsid w:val="004273EC"/>
    <w:rsid w:val="0043495C"/>
    <w:rsid w:val="00435E8D"/>
    <w:rsid w:val="00442A00"/>
    <w:rsid w:val="00450016"/>
    <w:rsid w:val="00466B45"/>
    <w:rsid w:val="00466EE6"/>
    <w:rsid w:val="0047264F"/>
    <w:rsid w:val="004803AA"/>
    <w:rsid w:val="0048063E"/>
    <w:rsid w:val="00484286"/>
    <w:rsid w:val="004929C1"/>
    <w:rsid w:val="0049339C"/>
    <w:rsid w:val="004A34D0"/>
    <w:rsid w:val="004B1E71"/>
    <w:rsid w:val="004B3B6F"/>
    <w:rsid w:val="004B554F"/>
    <w:rsid w:val="004C58D0"/>
    <w:rsid w:val="004D0BB1"/>
    <w:rsid w:val="004E66A4"/>
    <w:rsid w:val="004F0BBB"/>
    <w:rsid w:val="004F2039"/>
    <w:rsid w:val="004F45A5"/>
    <w:rsid w:val="004F45BC"/>
    <w:rsid w:val="00524AB4"/>
    <w:rsid w:val="005302DD"/>
    <w:rsid w:val="0053062D"/>
    <w:rsid w:val="00541990"/>
    <w:rsid w:val="005527E3"/>
    <w:rsid w:val="00594579"/>
    <w:rsid w:val="00594AFD"/>
    <w:rsid w:val="005A016A"/>
    <w:rsid w:val="005C51F4"/>
    <w:rsid w:val="005C7EE3"/>
    <w:rsid w:val="005D2E9F"/>
    <w:rsid w:val="005E4246"/>
    <w:rsid w:val="005E6706"/>
    <w:rsid w:val="0060059E"/>
    <w:rsid w:val="00611435"/>
    <w:rsid w:val="00616A49"/>
    <w:rsid w:val="00617840"/>
    <w:rsid w:val="00634147"/>
    <w:rsid w:val="006341E9"/>
    <w:rsid w:val="006362E2"/>
    <w:rsid w:val="00637AF5"/>
    <w:rsid w:val="00651623"/>
    <w:rsid w:val="00652582"/>
    <w:rsid w:val="006663FE"/>
    <w:rsid w:val="00690A50"/>
    <w:rsid w:val="00690EA0"/>
    <w:rsid w:val="00693346"/>
    <w:rsid w:val="006957B0"/>
    <w:rsid w:val="006A21C2"/>
    <w:rsid w:val="006A791B"/>
    <w:rsid w:val="006B07FD"/>
    <w:rsid w:val="006B2035"/>
    <w:rsid w:val="006B79C0"/>
    <w:rsid w:val="006C2230"/>
    <w:rsid w:val="006D4C15"/>
    <w:rsid w:val="006E710B"/>
    <w:rsid w:val="006F3144"/>
    <w:rsid w:val="0071290A"/>
    <w:rsid w:val="00713CAE"/>
    <w:rsid w:val="007142D2"/>
    <w:rsid w:val="00722C50"/>
    <w:rsid w:val="00725049"/>
    <w:rsid w:val="007416FB"/>
    <w:rsid w:val="00750131"/>
    <w:rsid w:val="007514CB"/>
    <w:rsid w:val="007533C3"/>
    <w:rsid w:val="007661A3"/>
    <w:rsid w:val="007702E6"/>
    <w:rsid w:val="00777C4D"/>
    <w:rsid w:val="00784257"/>
    <w:rsid w:val="007920F6"/>
    <w:rsid w:val="007934A7"/>
    <w:rsid w:val="007A4059"/>
    <w:rsid w:val="007A74DF"/>
    <w:rsid w:val="007B00E8"/>
    <w:rsid w:val="007B592B"/>
    <w:rsid w:val="007C0BB2"/>
    <w:rsid w:val="007C3951"/>
    <w:rsid w:val="007C3C2B"/>
    <w:rsid w:val="007D7CAF"/>
    <w:rsid w:val="007E3D37"/>
    <w:rsid w:val="007F1C36"/>
    <w:rsid w:val="00801FEC"/>
    <w:rsid w:val="00811743"/>
    <w:rsid w:val="00814258"/>
    <w:rsid w:val="008301D0"/>
    <w:rsid w:val="008308C0"/>
    <w:rsid w:val="00832181"/>
    <w:rsid w:val="00832B5D"/>
    <w:rsid w:val="00862647"/>
    <w:rsid w:val="0087734A"/>
    <w:rsid w:val="0088064C"/>
    <w:rsid w:val="0089096B"/>
    <w:rsid w:val="00893872"/>
    <w:rsid w:val="008A5BC6"/>
    <w:rsid w:val="008C33C0"/>
    <w:rsid w:val="008D3393"/>
    <w:rsid w:val="008D3CB0"/>
    <w:rsid w:val="008E3072"/>
    <w:rsid w:val="008E3643"/>
    <w:rsid w:val="008E3D2A"/>
    <w:rsid w:val="008E5223"/>
    <w:rsid w:val="008F7175"/>
    <w:rsid w:val="009074CD"/>
    <w:rsid w:val="00914CDB"/>
    <w:rsid w:val="009249C7"/>
    <w:rsid w:val="00933C4F"/>
    <w:rsid w:val="0093479B"/>
    <w:rsid w:val="00947130"/>
    <w:rsid w:val="00947D40"/>
    <w:rsid w:val="00951651"/>
    <w:rsid w:val="00951921"/>
    <w:rsid w:val="009526E8"/>
    <w:rsid w:val="00953EDD"/>
    <w:rsid w:val="00956A1C"/>
    <w:rsid w:val="00962481"/>
    <w:rsid w:val="009733E7"/>
    <w:rsid w:val="00974F34"/>
    <w:rsid w:val="0097726A"/>
    <w:rsid w:val="009815EE"/>
    <w:rsid w:val="009A2E76"/>
    <w:rsid w:val="009A6920"/>
    <w:rsid w:val="009B78DD"/>
    <w:rsid w:val="009C2012"/>
    <w:rsid w:val="009C3165"/>
    <w:rsid w:val="009C3D2E"/>
    <w:rsid w:val="009C4425"/>
    <w:rsid w:val="009C7E60"/>
    <w:rsid w:val="009D21B6"/>
    <w:rsid w:val="009D3D5D"/>
    <w:rsid w:val="009D40EB"/>
    <w:rsid w:val="009D475A"/>
    <w:rsid w:val="009D539F"/>
    <w:rsid w:val="009E4F5F"/>
    <w:rsid w:val="009E5FE0"/>
    <w:rsid w:val="00A02B7E"/>
    <w:rsid w:val="00A20A70"/>
    <w:rsid w:val="00A4772A"/>
    <w:rsid w:val="00A5341A"/>
    <w:rsid w:val="00A549B4"/>
    <w:rsid w:val="00A57B18"/>
    <w:rsid w:val="00A57C5F"/>
    <w:rsid w:val="00A64B32"/>
    <w:rsid w:val="00A72655"/>
    <w:rsid w:val="00A73C96"/>
    <w:rsid w:val="00A749DE"/>
    <w:rsid w:val="00A758CC"/>
    <w:rsid w:val="00A900BB"/>
    <w:rsid w:val="00A92D0F"/>
    <w:rsid w:val="00A93B4E"/>
    <w:rsid w:val="00AA545D"/>
    <w:rsid w:val="00AB4DB4"/>
    <w:rsid w:val="00AD4536"/>
    <w:rsid w:val="00AD61D5"/>
    <w:rsid w:val="00AE14B0"/>
    <w:rsid w:val="00AE53A7"/>
    <w:rsid w:val="00AE71BB"/>
    <w:rsid w:val="00AE7798"/>
    <w:rsid w:val="00AF2C2F"/>
    <w:rsid w:val="00B1575F"/>
    <w:rsid w:val="00B3486B"/>
    <w:rsid w:val="00B36392"/>
    <w:rsid w:val="00B42503"/>
    <w:rsid w:val="00B506D8"/>
    <w:rsid w:val="00B51C00"/>
    <w:rsid w:val="00B54404"/>
    <w:rsid w:val="00B62B40"/>
    <w:rsid w:val="00B63C70"/>
    <w:rsid w:val="00B8468D"/>
    <w:rsid w:val="00B86610"/>
    <w:rsid w:val="00B95D49"/>
    <w:rsid w:val="00BA3650"/>
    <w:rsid w:val="00BB0A64"/>
    <w:rsid w:val="00BC105F"/>
    <w:rsid w:val="00BC2F1A"/>
    <w:rsid w:val="00BD4B3B"/>
    <w:rsid w:val="00BF1C22"/>
    <w:rsid w:val="00C00167"/>
    <w:rsid w:val="00C04F1F"/>
    <w:rsid w:val="00C11671"/>
    <w:rsid w:val="00C14810"/>
    <w:rsid w:val="00C1621E"/>
    <w:rsid w:val="00C16A78"/>
    <w:rsid w:val="00C20C45"/>
    <w:rsid w:val="00C3525E"/>
    <w:rsid w:val="00C424AB"/>
    <w:rsid w:val="00C4318C"/>
    <w:rsid w:val="00C60137"/>
    <w:rsid w:val="00C61C9A"/>
    <w:rsid w:val="00C64137"/>
    <w:rsid w:val="00C6560F"/>
    <w:rsid w:val="00C72FFF"/>
    <w:rsid w:val="00C73871"/>
    <w:rsid w:val="00C7533D"/>
    <w:rsid w:val="00C923C2"/>
    <w:rsid w:val="00C950F0"/>
    <w:rsid w:val="00CA5EC3"/>
    <w:rsid w:val="00CC311F"/>
    <w:rsid w:val="00CC4D3D"/>
    <w:rsid w:val="00CC5DB2"/>
    <w:rsid w:val="00CD03A1"/>
    <w:rsid w:val="00CD2EA8"/>
    <w:rsid w:val="00CD4DC8"/>
    <w:rsid w:val="00CD7964"/>
    <w:rsid w:val="00CE1868"/>
    <w:rsid w:val="00CE1B19"/>
    <w:rsid w:val="00D13122"/>
    <w:rsid w:val="00D14818"/>
    <w:rsid w:val="00D177EE"/>
    <w:rsid w:val="00D319D4"/>
    <w:rsid w:val="00D31BF2"/>
    <w:rsid w:val="00D37C8B"/>
    <w:rsid w:val="00D4015C"/>
    <w:rsid w:val="00D52FF2"/>
    <w:rsid w:val="00D677CA"/>
    <w:rsid w:val="00D71C92"/>
    <w:rsid w:val="00D77C36"/>
    <w:rsid w:val="00D807A7"/>
    <w:rsid w:val="00D80C91"/>
    <w:rsid w:val="00D90B66"/>
    <w:rsid w:val="00D9473B"/>
    <w:rsid w:val="00D962A2"/>
    <w:rsid w:val="00DA141C"/>
    <w:rsid w:val="00DA34A8"/>
    <w:rsid w:val="00DB30DE"/>
    <w:rsid w:val="00DD5D94"/>
    <w:rsid w:val="00DD7EFC"/>
    <w:rsid w:val="00DE3D97"/>
    <w:rsid w:val="00E03980"/>
    <w:rsid w:val="00E174B1"/>
    <w:rsid w:val="00E20B90"/>
    <w:rsid w:val="00E20F7E"/>
    <w:rsid w:val="00E27141"/>
    <w:rsid w:val="00E274A4"/>
    <w:rsid w:val="00E3205A"/>
    <w:rsid w:val="00E42519"/>
    <w:rsid w:val="00E50829"/>
    <w:rsid w:val="00E61697"/>
    <w:rsid w:val="00E67DB0"/>
    <w:rsid w:val="00E7271F"/>
    <w:rsid w:val="00E73714"/>
    <w:rsid w:val="00E763DD"/>
    <w:rsid w:val="00E80176"/>
    <w:rsid w:val="00E9615E"/>
    <w:rsid w:val="00E96E0A"/>
    <w:rsid w:val="00EA44B5"/>
    <w:rsid w:val="00EA7947"/>
    <w:rsid w:val="00EA7A96"/>
    <w:rsid w:val="00EB1E96"/>
    <w:rsid w:val="00EC1471"/>
    <w:rsid w:val="00ED5472"/>
    <w:rsid w:val="00ED6C17"/>
    <w:rsid w:val="00ED7705"/>
    <w:rsid w:val="00EF60B9"/>
    <w:rsid w:val="00EF7EB9"/>
    <w:rsid w:val="00F14A70"/>
    <w:rsid w:val="00F14BC9"/>
    <w:rsid w:val="00F22EA2"/>
    <w:rsid w:val="00F23239"/>
    <w:rsid w:val="00F34323"/>
    <w:rsid w:val="00F3566B"/>
    <w:rsid w:val="00F419FF"/>
    <w:rsid w:val="00F500B0"/>
    <w:rsid w:val="00F50E2A"/>
    <w:rsid w:val="00F545F9"/>
    <w:rsid w:val="00F566C4"/>
    <w:rsid w:val="00F60786"/>
    <w:rsid w:val="00F63E8F"/>
    <w:rsid w:val="00F70B14"/>
    <w:rsid w:val="00F70D29"/>
    <w:rsid w:val="00F71AB1"/>
    <w:rsid w:val="00F74B43"/>
    <w:rsid w:val="00F807D2"/>
    <w:rsid w:val="00F87ADC"/>
    <w:rsid w:val="00F906CF"/>
    <w:rsid w:val="00F91D01"/>
    <w:rsid w:val="00F94FC0"/>
    <w:rsid w:val="00FA44CA"/>
    <w:rsid w:val="00FA4CC7"/>
    <w:rsid w:val="00FB0CE9"/>
    <w:rsid w:val="00FB2C69"/>
    <w:rsid w:val="00FC1390"/>
    <w:rsid w:val="00FC168E"/>
    <w:rsid w:val="00FC2DCA"/>
    <w:rsid w:val="00FC39E9"/>
    <w:rsid w:val="00FC4F48"/>
    <w:rsid w:val="00FC5CB8"/>
    <w:rsid w:val="00FD2221"/>
    <w:rsid w:val="00FE1FA9"/>
    <w:rsid w:val="00FF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List Bullet" w:qFormat="1"/>
    <w:lsdException w:name="Body Text" w:uiPriority="99"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spacing w:line="264" w:lineRule="auto"/>
    </w:pPr>
    <w:rPr>
      <w:sz w:val="22"/>
    </w:rPr>
  </w:style>
  <w:style w:type="paragraph" w:styleId="Heading1">
    <w:name w:val="heading 1"/>
    <w:basedOn w:val="Normal"/>
    <w:next w:val="BodyText"/>
    <w:qFormat/>
    <w:rsid w:val="00226E86"/>
    <w:pPr>
      <w:keepNext/>
      <w:numPr>
        <w:numId w:val="9"/>
      </w:numPr>
      <w:spacing w:after="240"/>
      <w:ind w:left="1800" w:hanging="1800"/>
      <w:outlineLvl w:val="0"/>
    </w:pPr>
    <w:rPr>
      <w:rFonts w:ascii="Arial Bold" w:hAnsi="Arial Bold" w:cs="Arial"/>
      <w:b/>
      <w:bCs/>
      <w:caps/>
      <w:kern w:val="32"/>
      <w:sz w:val="28"/>
      <w:szCs w:val="32"/>
    </w:rPr>
  </w:style>
  <w:style w:type="paragraph" w:styleId="Heading2">
    <w:name w:val="heading 2"/>
    <w:basedOn w:val="Normal"/>
    <w:next w:val="BodyText"/>
    <w:qFormat/>
    <w:rsid w:val="00226E86"/>
    <w:pPr>
      <w:keepNext/>
      <w:numPr>
        <w:ilvl w:val="1"/>
        <w:numId w:val="9"/>
      </w:numPr>
      <w:tabs>
        <w:tab w:val="clear" w:pos="360"/>
        <w:tab w:val="left" w:pos="720"/>
      </w:tabs>
      <w:spacing w:after="240"/>
      <w:ind w:left="720" w:hanging="720"/>
      <w:outlineLvl w:val="1"/>
    </w:pPr>
    <w:rPr>
      <w:rFonts w:ascii="Arial Bold" w:hAnsi="Arial Bold" w:cs="Arial"/>
      <w:b/>
      <w:bCs/>
      <w:caps/>
      <w:sz w:val="26"/>
      <w:szCs w:val="28"/>
    </w:rPr>
  </w:style>
  <w:style w:type="paragraph" w:styleId="Heading3">
    <w:name w:val="heading 3"/>
    <w:basedOn w:val="Normal"/>
    <w:next w:val="BodyText"/>
    <w:qFormat/>
    <w:rsid w:val="00226E86"/>
    <w:pPr>
      <w:keepNext/>
      <w:numPr>
        <w:ilvl w:val="2"/>
        <w:numId w:val="9"/>
      </w:numPr>
      <w:spacing w:after="240"/>
      <w:ind w:left="720" w:hanging="720"/>
      <w:outlineLvl w:val="2"/>
    </w:pPr>
    <w:rPr>
      <w:rFonts w:ascii="Arial Narrow" w:hAnsi="Arial Narrow" w:cs="Arial"/>
      <w:b/>
      <w:bCs/>
      <w:sz w:val="25"/>
      <w:szCs w:val="26"/>
    </w:rPr>
  </w:style>
  <w:style w:type="paragraph" w:styleId="Heading4">
    <w:name w:val="heading 4"/>
    <w:basedOn w:val="Normal"/>
    <w:next w:val="BodyText"/>
    <w:pPr>
      <w:keepNext/>
      <w:numPr>
        <w:ilvl w:val="3"/>
        <w:numId w:val="9"/>
      </w:numPr>
      <w:tabs>
        <w:tab w:val="left" w:pos="900"/>
      </w:tabs>
      <w:spacing w:after="240"/>
      <w:outlineLvl w:val="3"/>
    </w:pPr>
    <w:rPr>
      <w:rFonts w:ascii="Arial Narrow" w:hAnsi="Arial Narrow"/>
      <w:b/>
      <w:bCs/>
      <w:i/>
      <w:iCs/>
      <w:sz w:val="25"/>
      <w:szCs w:val="28"/>
    </w:rPr>
  </w:style>
  <w:style w:type="paragraph" w:styleId="Heading5">
    <w:name w:val="heading 5"/>
    <w:basedOn w:val="Normal"/>
    <w:next w:val="BodyText"/>
    <w:rsid w:val="00CE1B19"/>
    <w:pPr>
      <w:keepNext/>
      <w:numPr>
        <w:ilvl w:val="4"/>
        <w:numId w:val="9"/>
      </w:numPr>
      <w:tabs>
        <w:tab w:val="clear" w:pos="5670"/>
        <w:tab w:val="num" w:pos="1080"/>
      </w:tabs>
      <w:spacing w:after="240"/>
      <w:ind w:left="0"/>
      <w:outlineLvl w:val="4"/>
    </w:pPr>
    <w:rPr>
      <w:rFonts w:ascii="Arial Narrow" w:hAnsi="Arial Narrow"/>
      <w:b/>
      <w:bCs/>
      <w:sz w:val="24"/>
      <w:szCs w:val="26"/>
    </w:rPr>
  </w:style>
  <w:style w:type="paragraph" w:styleId="Heading6">
    <w:name w:val="heading 6"/>
    <w:basedOn w:val="Normal"/>
    <w:next w:val="BodyText"/>
    <w:rsid w:val="00CE1B19"/>
    <w:pPr>
      <w:keepNext/>
      <w:numPr>
        <w:ilvl w:val="5"/>
        <w:numId w:val="9"/>
      </w:numPr>
      <w:spacing w:after="240"/>
      <w:outlineLvl w:val="5"/>
    </w:pPr>
    <w:rPr>
      <w:rFonts w:ascii="Arial Narrow" w:hAnsi="Arial Narrow"/>
      <w:szCs w:val="22"/>
    </w:rPr>
  </w:style>
  <w:style w:type="paragraph" w:styleId="Heading7">
    <w:name w:val="heading 7"/>
    <w:basedOn w:val="Normal"/>
    <w:next w:val="BodyText"/>
    <w:pPr>
      <w:spacing w:after="240" w:line="240" w:lineRule="auto"/>
      <w:outlineLvl w:val="6"/>
    </w:pPr>
    <w:rPr>
      <w:rFonts w:ascii="Arial" w:hAnsi="Arial"/>
    </w:rPr>
  </w:style>
  <w:style w:type="paragraph" w:styleId="Heading8">
    <w:name w:val="heading 8"/>
    <w:basedOn w:val="Normal"/>
    <w:next w:val="BodyText"/>
    <w:pPr>
      <w:spacing w:before="240" w:after="120" w:line="240" w:lineRule="auto"/>
      <w:jc w:val="both"/>
      <w:outlineLvl w:val="7"/>
    </w:pPr>
    <w:rPr>
      <w:rFonts w:ascii="Arial" w:hAnsi="Arial"/>
      <w:i/>
      <w:sz w:val="21"/>
    </w:rPr>
  </w:style>
  <w:style w:type="paragraph" w:styleId="Heading9">
    <w:name w:val="heading 9"/>
    <w:basedOn w:val="Normal"/>
    <w:next w:val="BodyText"/>
    <w:pPr>
      <w:spacing w:before="240" w:after="120" w:line="240" w:lineRule="auto"/>
      <w:jc w:val="both"/>
      <w:outlineLvl w:val="8"/>
    </w:pPr>
    <w:rPr>
      <w:rFonts w:ascii="Arial" w:hAnsi="Arial"/>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after="240"/>
      <w:jc w:val="both"/>
    </w:pPr>
  </w:style>
  <w:style w:type="paragraph" w:customStyle="1" w:styleId="TableTitle">
    <w:name w:val="TableTitle"/>
    <w:basedOn w:val="Normal"/>
    <w:qFormat/>
    <w:pPr>
      <w:keepNext/>
      <w:spacing w:after="240"/>
      <w:jc w:val="center"/>
    </w:pPr>
    <w:rPr>
      <w:b/>
      <w:bCs/>
    </w:rPr>
  </w:style>
  <w:style w:type="paragraph" w:customStyle="1" w:styleId="FigureTitle">
    <w:name w:val="FigureTitle"/>
    <w:basedOn w:val="TableTitle"/>
    <w:next w:val="BodyText"/>
    <w:qFormat/>
  </w:style>
  <w:style w:type="paragraph" w:styleId="Footer">
    <w:name w:val="footer"/>
    <w:basedOn w:val="Normal"/>
    <w:pPr>
      <w:tabs>
        <w:tab w:val="right" w:pos="8820"/>
      </w:tabs>
    </w:pPr>
    <w:rPr>
      <w:rFonts w:ascii="Arial" w:hAnsi="Arial" w:cs="Arial"/>
      <w:sz w:val="12"/>
    </w:rPr>
  </w:style>
  <w:style w:type="paragraph" w:styleId="Header">
    <w:name w:val="header"/>
    <w:basedOn w:val="Normal"/>
    <w:pPr>
      <w:tabs>
        <w:tab w:val="center" w:pos="4320"/>
        <w:tab w:val="right" w:pos="8640"/>
      </w:tabs>
      <w:spacing w:line="240" w:lineRule="auto"/>
    </w:pPr>
  </w:style>
  <w:style w:type="paragraph" w:customStyle="1" w:styleId="LetterAddress">
    <w:name w:val="LetterAddress"/>
    <w:basedOn w:val="Normal"/>
  </w:style>
  <w:style w:type="paragraph" w:customStyle="1" w:styleId="LetterAttachment">
    <w:name w:val="LetterAttachment"/>
    <w:basedOn w:val="Normal"/>
  </w:style>
  <w:style w:type="paragraph" w:customStyle="1" w:styleId="LetterText">
    <w:name w:val="LetterText"/>
    <w:basedOn w:val="Normal"/>
    <w:qFormat/>
    <w:pPr>
      <w:spacing w:after="240" w:line="240" w:lineRule="auto"/>
    </w:pPr>
  </w:style>
  <w:style w:type="paragraph" w:customStyle="1" w:styleId="LetterAuthors">
    <w:name w:val="LetterAuthors"/>
    <w:basedOn w:val="LetterText"/>
  </w:style>
  <w:style w:type="paragraph" w:customStyle="1" w:styleId="LetterClosing">
    <w:name w:val="LetterClosing"/>
    <w:basedOn w:val="LetterText"/>
    <w:pPr>
      <w:keepNext/>
      <w:spacing w:after="960"/>
    </w:pPr>
  </w:style>
  <w:style w:type="paragraph" w:customStyle="1" w:styleId="LetterDate">
    <w:name w:val="LetterDate"/>
    <w:basedOn w:val="Normal"/>
    <w:pPr>
      <w:spacing w:after="720"/>
    </w:pPr>
  </w:style>
  <w:style w:type="paragraph" w:customStyle="1" w:styleId="LetterHead1">
    <w:name w:val="LetterHead 1"/>
    <w:basedOn w:val="Normal"/>
    <w:qFormat/>
    <w:pPr>
      <w:keepNext/>
      <w:spacing w:after="240" w:line="240" w:lineRule="auto"/>
    </w:pPr>
    <w:rPr>
      <w:rFonts w:ascii="Arial Narrow" w:hAnsi="Arial Narrow"/>
      <w:b/>
      <w:bCs/>
      <w:caps/>
      <w:sz w:val="26"/>
    </w:rPr>
  </w:style>
  <w:style w:type="paragraph" w:customStyle="1" w:styleId="LetterHead2">
    <w:name w:val="LetterHead 2"/>
    <w:basedOn w:val="LetterHead1"/>
    <w:qFormat/>
    <w:rPr>
      <w:caps w:val="0"/>
      <w:smallCaps/>
      <w:sz w:val="25"/>
    </w:rPr>
  </w:style>
  <w:style w:type="paragraph" w:customStyle="1" w:styleId="LetterHead3">
    <w:name w:val="LetterHead 3"/>
    <w:basedOn w:val="LetterHead2"/>
    <w:rPr>
      <w:iCs/>
      <w:sz w:val="24"/>
    </w:rPr>
  </w:style>
  <w:style w:type="paragraph" w:customStyle="1" w:styleId="LetterSalutation">
    <w:name w:val="LetterSalutation"/>
    <w:basedOn w:val="Normal"/>
    <w:pPr>
      <w:spacing w:after="240"/>
    </w:pPr>
  </w:style>
  <w:style w:type="paragraph" w:customStyle="1" w:styleId="LetterSubject">
    <w:name w:val="LetterSubject"/>
    <w:basedOn w:val="Normal"/>
    <w:pPr>
      <w:tabs>
        <w:tab w:val="left" w:pos="1440"/>
      </w:tabs>
      <w:spacing w:before="280" w:after="280"/>
      <w:ind w:left="1440" w:right="907" w:hanging="1440"/>
    </w:pPr>
  </w:style>
  <w:style w:type="character" w:styleId="PageNumber">
    <w:name w:val="page number"/>
    <w:rsid w:val="00953EDD"/>
    <w:rPr>
      <w:rFonts w:ascii="Times New Roman" w:hAnsi="Times New Roman"/>
      <w:sz w:val="24"/>
      <w:szCs w:val="24"/>
    </w:rPr>
  </w:style>
  <w:style w:type="paragraph" w:customStyle="1" w:styleId="TableText">
    <w:name w:val="TableText"/>
    <w:basedOn w:val="Normal"/>
    <w:qFormat/>
    <w:pPr>
      <w:spacing w:before="40" w:after="40"/>
    </w:pPr>
    <w:rPr>
      <w:rFonts w:ascii="Arial Narrow" w:hAnsi="Arial Narrow"/>
      <w:sz w:val="20"/>
    </w:rPr>
  </w:style>
  <w:style w:type="paragraph" w:customStyle="1" w:styleId="TableHeader">
    <w:name w:val="TableHeader"/>
    <w:basedOn w:val="TableText"/>
    <w:qFormat/>
    <w:rsid w:val="00914CDB"/>
    <w:pPr>
      <w:spacing w:before="80" w:after="80" w:line="360" w:lineRule="auto"/>
      <w:jc w:val="center"/>
    </w:pPr>
    <w:rPr>
      <w:b/>
      <w:bCs/>
    </w:rPr>
  </w:style>
  <w:style w:type="paragraph" w:customStyle="1" w:styleId="TableTitle2ndPg">
    <w:name w:val="TableTitle2ndPg"/>
    <w:basedOn w:val="TableTitle"/>
    <w:qFormat/>
    <w:rsid w:val="00226E86"/>
    <w:pPr>
      <w:spacing w:before="240"/>
    </w:pPr>
  </w:style>
  <w:style w:type="paragraph" w:styleId="ListBullet">
    <w:name w:val="List Bullet"/>
    <w:basedOn w:val="Normal"/>
    <w:qFormat/>
    <w:pPr>
      <w:numPr>
        <w:numId w:val="10"/>
      </w:numPr>
      <w:spacing w:after="120"/>
      <w:jc w:val="both"/>
    </w:pPr>
  </w:style>
  <w:style w:type="paragraph" w:customStyle="1" w:styleId="ListSubBullet">
    <w:name w:val="List SubBullet"/>
    <w:basedOn w:val="ListBullet"/>
    <w:pPr>
      <w:numPr>
        <w:numId w:val="5"/>
      </w:numPr>
      <w:tabs>
        <w:tab w:val="clear" w:pos="360"/>
        <w:tab w:val="left" w:pos="1080"/>
      </w:tabs>
      <w:ind w:left="1080"/>
    </w:pPr>
  </w:style>
  <w:style w:type="paragraph" w:customStyle="1" w:styleId="ListBulletSingle">
    <w:name w:val="List BulletSingle"/>
    <w:basedOn w:val="ListBullet"/>
    <w:pPr>
      <w:numPr>
        <w:numId w:val="4"/>
      </w:numPr>
      <w:tabs>
        <w:tab w:val="clear" w:pos="720"/>
        <w:tab w:val="num" w:pos="706"/>
      </w:tabs>
      <w:spacing w:after="0" w:line="240" w:lineRule="auto"/>
    </w:pPr>
  </w:style>
  <w:style w:type="paragraph" w:customStyle="1" w:styleId="Subhead">
    <w:name w:val="Subhead"/>
    <w:basedOn w:val="Normal"/>
    <w:qFormat/>
    <w:rsid w:val="00953EDD"/>
    <w:pPr>
      <w:keepNext/>
      <w:spacing w:after="240"/>
    </w:pPr>
    <w:rPr>
      <w:rFonts w:ascii="Arial Narrow" w:hAnsi="Arial Narrow"/>
      <w:b/>
      <w:bCs/>
      <w:i/>
      <w:iCs/>
      <w:sz w:val="25"/>
    </w:rPr>
  </w:style>
  <w:style w:type="paragraph" w:customStyle="1" w:styleId="Subhead1">
    <w:name w:val="Subhead1"/>
    <w:basedOn w:val="Normal"/>
    <w:rsid w:val="00953EDD"/>
    <w:pPr>
      <w:keepNext/>
      <w:spacing w:after="240"/>
    </w:pPr>
    <w:rPr>
      <w:b/>
      <w:bCs/>
    </w:rPr>
  </w:style>
  <w:style w:type="paragraph" w:customStyle="1" w:styleId="Subhead2">
    <w:name w:val="Subhead2"/>
    <w:basedOn w:val="Subhead1"/>
    <w:rsid w:val="00953EDD"/>
    <w:rPr>
      <w:b w:val="0"/>
      <w:bCs w:val="0"/>
      <w:u w:val="single"/>
    </w:rPr>
  </w:style>
  <w:style w:type="paragraph" w:customStyle="1" w:styleId="Section">
    <w:name w:val="Section"/>
    <w:basedOn w:val="Normal"/>
    <w:pPr>
      <w:spacing w:before="240" w:line="240" w:lineRule="auto"/>
    </w:pPr>
    <w:rPr>
      <w:rFonts w:ascii="Impact" w:hAnsi="Impact"/>
      <w:caps/>
      <w:sz w:val="36"/>
    </w:rPr>
  </w:style>
  <w:style w:type="paragraph" w:customStyle="1" w:styleId="SectionTitle">
    <w:name w:val="SectionTitle"/>
    <w:basedOn w:val="Normal"/>
    <w:pPr>
      <w:spacing w:before="240"/>
    </w:pPr>
    <w:rPr>
      <w:rFonts w:ascii="Impact" w:hAnsi="Impact"/>
      <w:sz w:val="28"/>
    </w:rPr>
  </w:style>
  <w:style w:type="paragraph" w:customStyle="1" w:styleId="SectionNumber">
    <w:name w:val="SectionNumber"/>
    <w:basedOn w:val="Normal"/>
    <w:pPr>
      <w:spacing w:before="240" w:line="240" w:lineRule="auto"/>
    </w:pPr>
    <w:rPr>
      <w:caps/>
      <w:sz w:val="41"/>
    </w:rPr>
  </w:style>
  <w:style w:type="paragraph" w:customStyle="1" w:styleId="Acronym">
    <w:name w:val="Acronym"/>
    <w:basedOn w:val="BodyText"/>
    <w:next w:val="BodyText"/>
    <w:link w:val="AcronymChar"/>
    <w:qFormat/>
  </w:style>
  <w:style w:type="paragraph" w:customStyle="1" w:styleId="Letter2ndPgHeader">
    <w:name w:val="Letter2ndPgHeader"/>
    <w:basedOn w:val="Normal"/>
    <w:pPr>
      <w:spacing w:line="240" w:lineRule="auto"/>
    </w:pPr>
  </w:style>
  <w:style w:type="paragraph" w:styleId="TOC2">
    <w:name w:val="toc 2"/>
    <w:basedOn w:val="Normal"/>
    <w:uiPriority w:val="39"/>
    <w:pPr>
      <w:tabs>
        <w:tab w:val="left" w:pos="2000"/>
        <w:tab w:val="right" w:leader="dot" w:pos="9360"/>
      </w:tabs>
      <w:spacing w:line="240" w:lineRule="auto"/>
      <w:ind w:left="2002" w:hanging="562"/>
    </w:pPr>
  </w:style>
  <w:style w:type="paragraph" w:styleId="TOC1">
    <w:name w:val="toc 1"/>
    <w:basedOn w:val="Normal"/>
    <w:uiPriority w:val="39"/>
    <w:pPr>
      <w:tabs>
        <w:tab w:val="right" w:leader="dot" w:pos="9360"/>
      </w:tabs>
      <w:spacing w:before="240" w:after="240" w:line="240" w:lineRule="auto"/>
      <w:ind w:left="1440" w:hanging="1440"/>
    </w:pPr>
    <w:rPr>
      <w:rFonts w:ascii="Arial Bold" w:hAnsi="Arial Bold"/>
      <w:b/>
      <w:bCs/>
    </w:rPr>
  </w:style>
  <w:style w:type="paragraph" w:styleId="TOC3">
    <w:name w:val="toc 3"/>
    <w:basedOn w:val="Normal"/>
    <w:uiPriority w:val="39"/>
    <w:pPr>
      <w:tabs>
        <w:tab w:val="left" w:pos="2700"/>
        <w:tab w:val="right" w:leader="dot" w:pos="9360"/>
      </w:tabs>
      <w:spacing w:line="240" w:lineRule="auto"/>
      <w:ind w:left="2708" w:hanging="706"/>
    </w:pPr>
  </w:style>
  <w:style w:type="paragraph" w:styleId="TOC4">
    <w:name w:val="toc 4"/>
    <w:basedOn w:val="Normal"/>
    <w:next w:val="Normal"/>
    <w:uiPriority w:val="39"/>
    <w:rsid w:val="00383D01"/>
    <w:pPr>
      <w:tabs>
        <w:tab w:val="left" w:pos="3600"/>
        <w:tab w:val="right" w:leader="dot" w:pos="9360"/>
      </w:tabs>
      <w:spacing w:line="240" w:lineRule="auto"/>
      <w:ind w:left="3614" w:hanging="907"/>
    </w:p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uiPriority w:val="39"/>
    <w:pPr>
      <w:ind w:left="1840"/>
    </w:pPr>
  </w:style>
  <w:style w:type="character" w:styleId="Hyperlink">
    <w:name w:val="Hyperlink"/>
    <w:uiPriority w:val="99"/>
    <w:rPr>
      <w:color w:val="0000FF"/>
      <w:u w:val="single"/>
    </w:rPr>
  </w:style>
  <w:style w:type="paragraph" w:customStyle="1" w:styleId="Window-ProjectType">
    <w:name w:val="Window-Project Type"/>
    <w:basedOn w:val="Normal"/>
    <w:pPr>
      <w:spacing w:before="120" w:line="240" w:lineRule="auto"/>
    </w:pPr>
    <w:rPr>
      <w:rFonts w:ascii="Arial" w:hAnsi="Arial" w:cs="Arial"/>
      <w:b/>
      <w:bCs/>
      <w:smallCaps/>
    </w:rPr>
  </w:style>
  <w:style w:type="paragraph" w:customStyle="1" w:styleId="Window-TitleandLocation">
    <w:name w:val="Window-Title and Location"/>
    <w:basedOn w:val="Normal"/>
    <w:pPr>
      <w:spacing w:before="240" w:line="240" w:lineRule="auto"/>
    </w:pPr>
    <w:rPr>
      <w:rFonts w:ascii="Arial" w:hAnsi="Arial" w:cs="Arial"/>
      <w:smallCaps/>
    </w:rPr>
  </w:style>
  <w:style w:type="paragraph" w:customStyle="1" w:styleId="Window-Preparedfor">
    <w:name w:val="Window-Prepared for"/>
    <w:basedOn w:val="Normal"/>
    <w:pPr>
      <w:spacing w:before="280" w:line="240" w:lineRule="auto"/>
    </w:pPr>
    <w:rPr>
      <w:rFonts w:ascii="Arial" w:hAnsi="Arial" w:cs="Arial"/>
      <w:smallCaps/>
    </w:rPr>
  </w:style>
  <w:style w:type="paragraph" w:customStyle="1" w:styleId="Window-Company">
    <w:name w:val="Window-Company"/>
    <w:basedOn w:val="Normal"/>
    <w:pPr>
      <w:spacing w:before="80" w:line="240" w:lineRule="auto"/>
    </w:pPr>
    <w:rPr>
      <w:rFonts w:ascii="Arial" w:hAnsi="Arial" w:cs="Arial"/>
      <w:b/>
      <w:bCs/>
      <w:smallCaps/>
    </w:rPr>
  </w:style>
  <w:style w:type="paragraph" w:customStyle="1" w:styleId="Window-ProjectNmbr">
    <w:name w:val="Window-Project Nmbr"/>
    <w:basedOn w:val="Normal"/>
    <w:pPr>
      <w:spacing w:before="240" w:line="240" w:lineRule="auto"/>
    </w:pPr>
    <w:rPr>
      <w:rFonts w:ascii="Arial" w:hAnsi="Arial" w:cs="Arial"/>
      <w:smallCaps/>
    </w:rPr>
  </w:style>
  <w:style w:type="paragraph" w:customStyle="1" w:styleId="Window-Date">
    <w:name w:val="Window-Date"/>
    <w:basedOn w:val="Normal"/>
    <w:pPr>
      <w:spacing w:before="240" w:line="240" w:lineRule="auto"/>
    </w:pPr>
    <w:rPr>
      <w:rFonts w:ascii="Arial" w:hAnsi="Arial" w:cs="Arial"/>
      <w:b/>
      <w:bCs/>
      <w:smallCaps/>
    </w:rPr>
  </w:style>
  <w:style w:type="paragraph" w:customStyle="1" w:styleId="CoverType">
    <w:name w:val="CoverType"/>
    <w:basedOn w:val="Normal"/>
    <w:rPr>
      <w:rFonts w:ascii="Impact" w:hAnsi="Impact"/>
      <w:caps/>
      <w:spacing w:val="120"/>
      <w:sz w:val="26"/>
    </w:rPr>
  </w:style>
  <w:style w:type="paragraph" w:customStyle="1" w:styleId="CoverTitle">
    <w:name w:val="CoverTitle"/>
    <w:basedOn w:val="Normal"/>
    <w:rPr>
      <w:caps/>
      <w:sz w:val="40"/>
    </w:rPr>
  </w:style>
  <w:style w:type="paragraph" w:customStyle="1" w:styleId="CoverClient">
    <w:name w:val="CoverClient"/>
    <w:basedOn w:val="Normal"/>
    <w:pPr>
      <w:spacing w:line="240" w:lineRule="auto"/>
    </w:pPr>
  </w:style>
  <w:style w:type="paragraph" w:customStyle="1" w:styleId="CoverSigblock">
    <w:name w:val="CoverSigblock"/>
    <w:basedOn w:val="CoverClient"/>
  </w:style>
  <w:style w:type="paragraph" w:customStyle="1" w:styleId="CoverDate">
    <w:name w:val="CoverDate"/>
    <w:basedOn w:val="Normal"/>
    <w:pPr>
      <w:spacing w:line="240" w:lineRule="auto"/>
    </w:pPr>
  </w:style>
  <w:style w:type="paragraph" w:customStyle="1" w:styleId="CoverSubsidiary">
    <w:name w:val="CoverSubsidiary"/>
    <w:basedOn w:val="Normal"/>
    <w:pPr>
      <w:spacing w:line="240" w:lineRule="auto"/>
    </w:pPr>
    <w:rPr>
      <w:rFonts w:ascii="Arial" w:hAnsi="Arial" w:cs="Arial"/>
      <w:sz w:val="20"/>
    </w:rPr>
  </w:style>
  <w:style w:type="paragraph" w:customStyle="1" w:styleId="TblFigAppText">
    <w:name w:val="TblFigAppText"/>
    <w:basedOn w:val="Normal"/>
    <w:pPr>
      <w:tabs>
        <w:tab w:val="left" w:pos="1440"/>
      </w:tabs>
      <w:spacing w:line="240" w:lineRule="auto"/>
      <w:ind w:left="1440" w:hanging="1440"/>
    </w:pPr>
  </w:style>
  <w:style w:type="paragraph" w:customStyle="1" w:styleId="Reference">
    <w:name w:val="Reference"/>
    <w:basedOn w:val="Normal"/>
    <w:qFormat/>
    <w:rsid w:val="00A92D0F"/>
    <w:pPr>
      <w:spacing w:after="240"/>
      <w:ind w:left="720" w:hanging="720"/>
      <w:jc w:val="both"/>
    </w:pPr>
  </w:style>
  <w:style w:type="paragraph" w:customStyle="1" w:styleId="ListBulletLast">
    <w:name w:val="List Bullet Last"/>
    <w:basedOn w:val="ListBullet"/>
    <w:rsid w:val="00F500B0"/>
    <w:pPr>
      <w:spacing w:after="240"/>
    </w:pPr>
  </w:style>
  <w:style w:type="table" w:styleId="TableGrid">
    <w:name w:val="Table Grid"/>
    <w:basedOn w:val="TableNormal"/>
    <w:rsid w:val="00466EE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F1459"/>
    <w:pPr>
      <w:tabs>
        <w:tab w:val="left" w:pos="1440"/>
      </w:tabs>
      <w:ind w:left="1440" w:hanging="1440"/>
    </w:pPr>
  </w:style>
  <w:style w:type="paragraph" w:styleId="DocumentMap">
    <w:name w:val="Document Map"/>
    <w:basedOn w:val="Normal"/>
    <w:semiHidden/>
    <w:rsid w:val="00E174B1"/>
    <w:pPr>
      <w:shd w:val="clear" w:color="auto" w:fill="000080"/>
    </w:pPr>
    <w:rPr>
      <w:rFonts w:ascii="Tahoma" w:hAnsi="Tahoma" w:cs="Tahoma"/>
      <w:sz w:val="20"/>
    </w:rPr>
  </w:style>
  <w:style w:type="paragraph" w:styleId="BalloonText">
    <w:name w:val="Balloon Text"/>
    <w:basedOn w:val="Normal"/>
    <w:link w:val="BalloonTextChar"/>
    <w:rsid w:val="00226E86"/>
    <w:pPr>
      <w:spacing w:line="240" w:lineRule="auto"/>
    </w:pPr>
    <w:rPr>
      <w:rFonts w:ascii="Tahoma" w:hAnsi="Tahoma" w:cs="Tahoma"/>
      <w:sz w:val="16"/>
      <w:szCs w:val="16"/>
    </w:rPr>
  </w:style>
  <w:style w:type="character" w:customStyle="1" w:styleId="BalloonTextChar">
    <w:name w:val="Balloon Text Char"/>
    <w:link w:val="BalloonText"/>
    <w:rsid w:val="00226E86"/>
    <w:rPr>
      <w:rFonts w:ascii="Tahoma" w:hAnsi="Tahoma" w:cs="Tahoma"/>
      <w:sz w:val="16"/>
      <w:szCs w:val="16"/>
    </w:rPr>
  </w:style>
  <w:style w:type="character" w:customStyle="1" w:styleId="BodyTextChar">
    <w:name w:val="Body Text Char"/>
    <w:link w:val="BodyText"/>
    <w:uiPriority w:val="99"/>
    <w:rsid w:val="00375579"/>
    <w:rPr>
      <w:sz w:val="22"/>
    </w:rPr>
  </w:style>
  <w:style w:type="character" w:customStyle="1" w:styleId="AcronymChar">
    <w:name w:val="Acronym Char"/>
    <w:link w:val="Acronym"/>
    <w:rsid w:val="00375579"/>
    <w:rPr>
      <w:sz w:val="22"/>
    </w:rPr>
  </w:style>
  <w:style w:type="paragraph" w:customStyle="1" w:styleId="Photograph">
    <w:name w:val="Photograph"/>
    <w:basedOn w:val="FigureTitle"/>
    <w:next w:val="BodyText"/>
    <w:rsid w:val="00C04F1F"/>
  </w:style>
  <w:style w:type="character" w:customStyle="1" w:styleId="ExhibitTitleChar">
    <w:name w:val="Exhibit Title Char"/>
    <w:link w:val="ExhibitTitle"/>
    <w:rsid w:val="000A26AC"/>
    <w:rPr>
      <w:b/>
      <w:sz w:val="22"/>
    </w:rPr>
  </w:style>
  <w:style w:type="paragraph" w:customStyle="1" w:styleId="ExhibitTitle">
    <w:name w:val="Exhibit Title"/>
    <w:basedOn w:val="BodyText"/>
    <w:link w:val="ExhibitTitleChar"/>
    <w:rsid w:val="000A26AC"/>
    <w:pPr>
      <w:keepNext/>
      <w:keepLines/>
      <w:jc w:val="center"/>
    </w:pPr>
    <w:rPr>
      <w:b/>
    </w:rPr>
  </w:style>
  <w:style w:type="paragraph" w:customStyle="1" w:styleId="AddressBlock">
    <w:name w:val="Address Block"/>
    <w:basedOn w:val="Normal"/>
    <w:rsid w:val="000F0C4F"/>
    <w:pPr>
      <w:spacing w:line="200" w:lineRule="exact"/>
    </w:pPr>
    <w:rPr>
      <w:rFonts w:ascii="Arial" w:eastAsia="Arial" w:hAnsi="Arial"/>
      <w:sz w:val="14"/>
      <w:szCs w:val="22"/>
    </w:rPr>
  </w:style>
  <w:style w:type="paragraph" w:styleId="ListParagraph">
    <w:name w:val="List Paragraph"/>
    <w:basedOn w:val="Normal"/>
    <w:uiPriority w:val="34"/>
    <w:rsid w:val="007533C3"/>
    <w:pPr>
      <w:ind w:left="720"/>
      <w:contextualSpacing/>
    </w:pPr>
  </w:style>
  <w:style w:type="paragraph" w:styleId="FootnoteText">
    <w:name w:val="footnote text"/>
    <w:basedOn w:val="Normal"/>
    <w:link w:val="FootnoteTextChar"/>
    <w:rsid w:val="008C33C0"/>
    <w:pPr>
      <w:spacing w:line="240" w:lineRule="auto"/>
    </w:pPr>
    <w:rPr>
      <w:sz w:val="20"/>
    </w:rPr>
  </w:style>
  <w:style w:type="character" w:customStyle="1" w:styleId="FootnoteTextChar">
    <w:name w:val="Footnote Text Char"/>
    <w:basedOn w:val="DefaultParagraphFont"/>
    <w:link w:val="FootnoteText"/>
    <w:rsid w:val="008C33C0"/>
  </w:style>
  <w:style w:type="character" w:styleId="FootnoteReference">
    <w:name w:val="footnote reference"/>
    <w:basedOn w:val="DefaultParagraphFont"/>
    <w:rsid w:val="008C33C0"/>
    <w:rPr>
      <w:vertAlign w:val="superscript"/>
    </w:rPr>
  </w:style>
  <w:style w:type="character" w:styleId="CommentReference">
    <w:name w:val="annotation reference"/>
    <w:basedOn w:val="DefaultParagraphFont"/>
    <w:rsid w:val="00A900BB"/>
    <w:rPr>
      <w:sz w:val="16"/>
      <w:szCs w:val="16"/>
    </w:rPr>
  </w:style>
  <w:style w:type="paragraph" w:styleId="CommentText">
    <w:name w:val="annotation text"/>
    <w:basedOn w:val="Normal"/>
    <w:link w:val="CommentTextChar"/>
    <w:rsid w:val="00A900BB"/>
    <w:pPr>
      <w:spacing w:line="240" w:lineRule="auto"/>
    </w:pPr>
    <w:rPr>
      <w:sz w:val="20"/>
    </w:rPr>
  </w:style>
  <w:style w:type="character" w:customStyle="1" w:styleId="CommentTextChar">
    <w:name w:val="Comment Text Char"/>
    <w:basedOn w:val="DefaultParagraphFont"/>
    <w:link w:val="CommentText"/>
    <w:rsid w:val="00A900BB"/>
  </w:style>
  <w:style w:type="paragraph" w:styleId="CommentSubject">
    <w:name w:val="annotation subject"/>
    <w:basedOn w:val="CommentText"/>
    <w:next w:val="CommentText"/>
    <w:link w:val="CommentSubjectChar"/>
    <w:rsid w:val="00A900BB"/>
    <w:rPr>
      <w:b/>
      <w:bCs/>
    </w:rPr>
  </w:style>
  <w:style w:type="character" w:customStyle="1" w:styleId="CommentSubjectChar">
    <w:name w:val="Comment Subject Char"/>
    <w:basedOn w:val="CommentTextChar"/>
    <w:link w:val="CommentSubject"/>
    <w:rsid w:val="00A900BB"/>
    <w:rPr>
      <w:b/>
      <w:bCs/>
    </w:rPr>
  </w:style>
  <w:style w:type="paragraph" w:styleId="Revision">
    <w:name w:val="Revision"/>
    <w:hidden/>
    <w:uiPriority w:val="99"/>
    <w:semiHidden/>
    <w:rsid w:val="008806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List Bullet" w:qFormat="1"/>
    <w:lsdException w:name="Body Text" w:uiPriority="99"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spacing w:line="264" w:lineRule="auto"/>
    </w:pPr>
    <w:rPr>
      <w:sz w:val="22"/>
    </w:rPr>
  </w:style>
  <w:style w:type="paragraph" w:styleId="Heading1">
    <w:name w:val="heading 1"/>
    <w:basedOn w:val="Normal"/>
    <w:next w:val="BodyText"/>
    <w:qFormat/>
    <w:rsid w:val="00226E86"/>
    <w:pPr>
      <w:keepNext/>
      <w:numPr>
        <w:numId w:val="9"/>
      </w:numPr>
      <w:spacing w:after="240"/>
      <w:ind w:left="1800" w:hanging="1800"/>
      <w:outlineLvl w:val="0"/>
    </w:pPr>
    <w:rPr>
      <w:rFonts w:ascii="Arial Bold" w:hAnsi="Arial Bold" w:cs="Arial"/>
      <w:b/>
      <w:bCs/>
      <w:caps/>
      <w:kern w:val="32"/>
      <w:sz w:val="28"/>
      <w:szCs w:val="32"/>
    </w:rPr>
  </w:style>
  <w:style w:type="paragraph" w:styleId="Heading2">
    <w:name w:val="heading 2"/>
    <w:basedOn w:val="Normal"/>
    <w:next w:val="BodyText"/>
    <w:qFormat/>
    <w:rsid w:val="00226E86"/>
    <w:pPr>
      <w:keepNext/>
      <w:numPr>
        <w:ilvl w:val="1"/>
        <w:numId w:val="9"/>
      </w:numPr>
      <w:tabs>
        <w:tab w:val="clear" w:pos="360"/>
        <w:tab w:val="left" w:pos="720"/>
      </w:tabs>
      <w:spacing w:after="240"/>
      <w:ind w:left="720" w:hanging="720"/>
      <w:outlineLvl w:val="1"/>
    </w:pPr>
    <w:rPr>
      <w:rFonts w:ascii="Arial Bold" w:hAnsi="Arial Bold" w:cs="Arial"/>
      <w:b/>
      <w:bCs/>
      <w:caps/>
      <w:sz w:val="26"/>
      <w:szCs w:val="28"/>
    </w:rPr>
  </w:style>
  <w:style w:type="paragraph" w:styleId="Heading3">
    <w:name w:val="heading 3"/>
    <w:basedOn w:val="Normal"/>
    <w:next w:val="BodyText"/>
    <w:qFormat/>
    <w:rsid w:val="00226E86"/>
    <w:pPr>
      <w:keepNext/>
      <w:numPr>
        <w:ilvl w:val="2"/>
        <w:numId w:val="9"/>
      </w:numPr>
      <w:spacing w:after="240"/>
      <w:ind w:left="720" w:hanging="720"/>
      <w:outlineLvl w:val="2"/>
    </w:pPr>
    <w:rPr>
      <w:rFonts w:ascii="Arial Narrow" w:hAnsi="Arial Narrow" w:cs="Arial"/>
      <w:b/>
      <w:bCs/>
      <w:sz w:val="25"/>
      <w:szCs w:val="26"/>
    </w:rPr>
  </w:style>
  <w:style w:type="paragraph" w:styleId="Heading4">
    <w:name w:val="heading 4"/>
    <w:basedOn w:val="Normal"/>
    <w:next w:val="BodyText"/>
    <w:pPr>
      <w:keepNext/>
      <w:numPr>
        <w:ilvl w:val="3"/>
        <w:numId w:val="9"/>
      </w:numPr>
      <w:tabs>
        <w:tab w:val="left" w:pos="900"/>
      </w:tabs>
      <w:spacing w:after="240"/>
      <w:outlineLvl w:val="3"/>
    </w:pPr>
    <w:rPr>
      <w:rFonts w:ascii="Arial Narrow" w:hAnsi="Arial Narrow"/>
      <w:b/>
      <w:bCs/>
      <w:i/>
      <w:iCs/>
      <w:sz w:val="25"/>
      <w:szCs w:val="28"/>
    </w:rPr>
  </w:style>
  <w:style w:type="paragraph" w:styleId="Heading5">
    <w:name w:val="heading 5"/>
    <w:basedOn w:val="Normal"/>
    <w:next w:val="BodyText"/>
    <w:rsid w:val="00CE1B19"/>
    <w:pPr>
      <w:keepNext/>
      <w:numPr>
        <w:ilvl w:val="4"/>
        <w:numId w:val="9"/>
      </w:numPr>
      <w:tabs>
        <w:tab w:val="clear" w:pos="5670"/>
        <w:tab w:val="num" w:pos="1080"/>
      </w:tabs>
      <w:spacing w:after="240"/>
      <w:ind w:left="0"/>
      <w:outlineLvl w:val="4"/>
    </w:pPr>
    <w:rPr>
      <w:rFonts w:ascii="Arial Narrow" w:hAnsi="Arial Narrow"/>
      <w:b/>
      <w:bCs/>
      <w:sz w:val="24"/>
      <w:szCs w:val="26"/>
    </w:rPr>
  </w:style>
  <w:style w:type="paragraph" w:styleId="Heading6">
    <w:name w:val="heading 6"/>
    <w:basedOn w:val="Normal"/>
    <w:next w:val="BodyText"/>
    <w:rsid w:val="00CE1B19"/>
    <w:pPr>
      <w:keepNext/>
      <w:numPr>
        <w:ilvl w:val="5"/>
        <w:numId w:val="9"/>
      </w:numPr>
      <w:spacing w:after="240"/>
      <w:outlineLvl w:val="5"/>
    </w:pPr>
    <w:rPr>
      <w:rFonts w:ascii="Arial Narrow" w:hAnsi="Arial Narrow"/>
      <w:szCs w:val="22"/>
    </w:rPr>
  </w:style>
  <w:style w:type="paragraph" w:styleId="Heading7">
    <w:name w:val="heading 7"/>
    <w:basedOn w:val="Normal"/>
    <w:next w:val="BodyText"/>
    <w:pPr>
      <w:spacing w:after="240" w:line="240" w:lineRule="auto"/>
      <w:outlineLvl w:val="6"/>
    </w:pPr>
    <w:rPr>
      <w:rFonts w:ascii="Arial" w:hAnsi="Arial"/>
    </w:rPr>
  </w:style>
  <w:style w:type="paragraph" w:styleId="Heading8">
    <w:name w:val="heading 8"/>
    <w:basedOn w:val="Normal"/>
    <w:next w:val="BodyText"/>
    <w:pPr>
      <w:spacing w:before="240" w:after="120" w:line="240" w:lineRule="auto"/>
      <w:jc w:val="both"/>
      <w:outlineLvl w:val="7"/>
    </w:pPr>
    <w:rPr>
      <w:rFonts w:ascii="Arial" w:hAnsi="Arial"/>
      <w:i/>
      <w:sz w:val="21"/>
    </w:rPr>
  </w:style>
  <w:style w:type="paragraph" w:styleId="Heading9">
    <w:name w:val="heading 9"/>
    <w:basedOn w:val="Normal"/>
    <w:next w:val="BodyText"/>
    <w:pPr>
      <w:spacing w:before="240" w:after="120" w:line="240" w:lineRule="auto"/>
      <w:jc w:val="both"/>
      <w:outlineLvl w:val="8"/>
    </w:pPr>
    <w:rPr>
      <w:rFonts w:ascii="Arial" w:hAnsi="Arial"/>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after="240"/>
      <w:jc w:val="both"/>
    </w:pPr>
  </w:style>
  <w:style w:type="paragraph" w:customStyle="1" w:styleId="TableTitle">
    <w:name w:val="TableTitle"/>
    <w:basedOn w:val="Normal"/>
    <w:qFormat/>
    <w:pPr>
      <w:keepNext/>
      <w:spacing w:after="240"/>
      <w:jc w:val="center"/>
    </w:pPr>
    <w:rPr>
      <w:b/>
      <w:bCs/>
    </w:rPr>
  </w:style>
  <w:style w:type="paragraph" w:customStyle="1" w:styleId="FigureTitle">
    <w:name w:val="FigureTitle"/>
    <w:basedOn w:val="TableTitle"/>
    <w:next w:val="BodyText"/>
    <w:qFormat/>
  </w:style>
  <w:style w:type="paragraph" w:styleId="Footer">
    <w:name w:val="footer"/>
    <w:basedOn w:val="Normal"/>
    <w:pPr>
      <w:tabs>
        <w:tab w:val="right" w:pos="8820"/>
      </w:tabs>
    </w:pPr>
    <w:rPr>
      <w:rFonts w:ascii="Arial" w:hAnsi="Arial" w:cs="Arial"/>
      <w:sz w:val="12"/>
    </w:rPr>
  </w:style>
  <w:style w:type="paragraph" w:styleId="Header">
    <w:name w:val="header"/>
    <w:basedOn w:val="Normal"/>
    <w:pPr>
      <w:tabs>
        <w:tab w:val="center" w:pos="4320"/>
        <w:tab w:val="right" w:pos="8640"/>
      </w:tabs>
      <w:spacing w:line="240" w:lineRule="auto"/>
    </w:pPr>
  </w:style>
  <w:style w:type="paragraph" w:customStyle="1" w:styleId="LetterAddress">
    <w:name w:val="LetterAddress"/>
    <w:basedOn w:val="Normal"/>
  </w:style>
  <w:style w:type="paragraph" w:customStyle="1" w:styleId="LetterAttachment">
    <w:name w:val="LetterAttachment"/>
    <w:basedOn w:val="Normal"/>
  </w:style>
  <w:style w:type="paragraph" w:customStyle="1" w:styleId="LetterText">
    <w:name w:val="LetterText"/>
    <w:basedOn w:val="Normal"/>
    <w:qFormat/>
    <w:pPr>
      <w:spacing w:after="240" w:line="240" w:lineRule="auto"/>
    </w:pPr>
  </w:style>
  <w:style w:type="paragraph" w:customStyle="1" w:styleId="LetterAuthors">
    <w:name w:val="LetterAuthors"/>
    <w:basedOn w:val="LetterText"/>
  </w:style>
  <w:style w:type="paragraph" w:customStyle="1" w:styleId="LetterClosing">
    <w:name w:val="LetterClosing"/>
    <w:basedOn w:val="LetterText"/>
    <w:pPr>
      <w:keepNext/>
      <w:spacing w:after="960"/>
    </w:pPr>
  </w:style>
  <w:style w:type="paragraph" w:customStyle="1" w:styleId="LetterDate">
    <w:name w:val="LetterDate"/>
    <w:basedOn w:val="Normal"/>
    <w:pPr>
      <w:spacing w:after="720"/>
    </w:pPr>
  </w:style>
  <w:style w:type="paragraph" w:customStyle="1" w:styleId="LetterHead1">
    <w:name w:val="LetterHead 1"/>
    <w:basedOn w:val="Normal"/>
    <w:qFormat/>
    <w:pPr>
      <w:keepNext/>
      <w:spacing w:after="240" w:line="240" w:lineRule="auto"/>
    </w:pPr>
    <w:rPr>
      <w:rFonts w:ascii="Arial Narrow" w:hAnsi="Arial Narrow"/>
      <w:b/>
      <w:bCs/>
      <w:caps/>
      <w:sz w:val="26"/>
    </w:rPr>
  </w:style>
  <w:style w:type="paragraph" w:customStyle="1" w:styleId="LetterHead2">
    <w:name w:val="LetterHead 2"/>
    <w:basedOn w:val="LetterHead1"/>
    <w:qFormat/>
    <w:rPr>
      <w:caps w:val="0"/>
      <w:smallCaps/>
      <w:sz w:val="25"/>
    </w:rPr>
  </w:style>
  <w:style w:type="paragraph" w:customStyle="1" w:styleId="LetterHead3">
    <w:name w:val="LetterHead 3"/>
    <w:basedOn w:val="LetterHead2"/>
    <w:rPr>
      <w:iCs/>
      <w:sz w:val="24"/>
    </w:rPr>
  </w:style>
  <w:style w:type="paragraph" w:customStyle="1" w:styleId="LetterSalutation">
    <w:name w:val="LetterSalutation"/>
    <w:basedOn w:val="Normal"/>
    <w:pPr>
      <w:spacing w:after="240"/>
    </w:pPr>
  </w:style>
  <w:style w:type="paragraph" w:customStyle="1" w:styleId="LetterSubject">
    <w:name w:val="LetterSubject"/>
    <w:basedOn w:val="Normal"/>
    <w:pPr>
      <w:tabs>
        <w:tab w:val="left" w:pos="1440"/>
      </w:tabs>
      <w:spacing w:before="280" w:after="280"/>
      <w:ind w:left="1440" w:right="907" w:hanging="1440"/>
    </w:pPr>
  </w:style>
  <w:style w:type="character" w:styleId="PageNumber">
    <w:name w:val="page number"/>
    <w:rsid w:val="00953EDD"/>
    <w:rPr>
      <w:rFonts w:ascii="Times New Roman" w:hAnsi="Times New Roman"/>
      <w:sz w:val="24"/>
      <w:szCs w:val="24"/>
    </w:rPr>
  </w:style>
  <w:style w:type="paragraph" w:customStyle="1" w:styleId="TableText">
    <w:name w:val="TableText"/>
    <w:basedOn w:val="Normal"/>
    <w:qFormat/>
    <w:pPr>
      <w:spacing w:before="40" w:after="40"/>
    </w:pPr>
    <w:rPr>
      <w:rFonts w:ascii="Arial Narrow" w:hAnsi="Arial Narrow"/>
      <w:sz w:val="20"/>
    </w:rPr>
  </w:style>
  <w:style w:type="paragraph" w:customStyle="1" w:styleId="TableHeader">
    <w:name w:val="TableHeader"/>
    <w:basedOn w:val="TableText"/>
    <w:qFormat/>
    <w:rsid w:val="00914CDB"/>
    <w:pPr>
      <w:spacing w:before="80" w:after="80" w:line="360" w:lineRule="auto"/>
      <w:jc w:val="center"/>
    </w:pPr>
    <w:rPr>
      <w:b/>
      <w:bCs/>
    </w:rPr>
  </w:style>
  <w:style w:type="paragraph" w:customStyle="1" w:styleId="TableTitle2ndPg">
    <w:name w:val="TableTitle2ndPg"/>
    <w:basedOn w:val="TableTitle"/>
    <w:qFormat/>
    <w:rsid w:val="00226E86"/>
    <w:pPr>
      <w:spacing w:before="240"/>
    </w:pPr>
  </w:style>
  <w:style w:type="paragraph" w:styleId="ListBullet">
    <w:name w:val="List Bullet"/>
    <w:basedOn w:val="Normal"/>
    <w:qFormat/>
    <w:pPr>
      <w:numPr>
        <w:numId w:val="10"/>
      </w:numPr>
      <w:spacing w:after="120"/>
      <w:jc w:val="both"/>
    </w:pPr>
  </w:style>
  <w:style w:type="paragraph" w:customStyle="1" w:styleId="ListSubBullet">
    <w:name w:val="List SubBullet"/>
    <w:basedOn w:val="ListBullet"/>
    <w:pPr>
      <w:numPr>
        <w:numId w:val="5"/>
      </w:numPr>
      <w:tabs>
        <w:tab w:val="clear" w:pos="360"/>
        <w:tab w:val="left" w:pos="1080"/>
      </w:tabs>
      <w:ind w:left="1080"/>
    </w:pPr>
  </w:style>
  <w:style w:type="paragraph" w:customStyle="1" w:styleId="ListBulletSingle">
    <w:name w:val="List BulletSingle"/>
    <w:basedOn w:val="ListBullet"/>
    <w:pPr>
      <w:numPr>
        <w:numId w:val="4"/>
      </w:numPr>
      <w:tabs>
        <w:tab w:val="clear" w:pos="720"/>
        <w:tab w:val="num" w:pos="706"/>
      </w:tabs>
      <w:spacing w:after="0" w:line="240" w:lineRule="auto"/>
    </w:pPr>
  </w:style>
  <w:style w:type="paragraph" w:customStyle="1" w:styleId="Subhead">
    <w:name w:val="Subhead"/>
    <w:basedOn w:val="Normal"/>
    <w:qFormat/>
    <w:rsid w:val="00953EDD"/>
    <w:pPr>
      <w:keepNext/>
      <w:spacing w:after="240"/>
    </w:pPr>
    <w:rPr>
      <w:rFonts w:ascii="Arial Narrow" w:hAnsi="Arial Narrow"/>
      <w:b/>
      <w:bCs/>
      <w:i/>
      <w:iCs/>
      <w:sz w:val="25"/>
    </w:rPr>
  </w:style>
  <w:style w:type="paragraph" w:customStyle="1" w:styleId="Subhead1">
    <w:name w:val="Subhead1"/>
    <w:basedOn w:val="Normal"/>
    <w:rsid w:val="00953EDD"/>
    <w:pPr>
      <w:keepNext/>
      <w:spacing w:after="240"/>
    </w:pPr>
    <w:rPr>
      <w:b/>
      <w:bCs/>
    </w:rPr>
  </w:style>
  <w:style w:type="paragraph" w:customStyle="1" w:styleId="Subhead2">
    <w:name w:val="Subhead2"/>
    <w:basedOn w:val="Subhead1"/>
    <w:rsid w:val="00953EDD"/>
    <w:rPr>
      <w:b w:val="0"/>
      <w:bCs w:val="0"/>
      <w:u w:val="single"/>
    </w:rPr>
  </w:style>
  <w:style w:type="paragraph" w:customStyle="1" w:styleId="Section">
    <w:name w:val="Section"/>
    <w:basedOn w:val="Normal"/>
    <w:pPr>
      <w:spacing w:before="240" w:line="240" w:lineRule="auto"/>
    </w:pPr>
    <w:rPr>
      <w:rFonts w:ascii="Impact" w:hAnsi="Impact"/>
      <w:caps/>
      <w:sz w:val="36"/>
    </w:rPr>
  </w:style>
  <w:style w:type="paragraph" w:customStyle="1" w:styleId="SectionTitle">
    <w:name w:val="SectionTitle"/>
    <w:basedOn w:val="Normal"/>
    <w:pPr>
      <w:spacing w:before="240"/>
    </w:pPr>
    <w:rPr>
      <w:rFonts w:ascii="Impact" w:hAnsi="Impact"/>
      <w:sz w:val="28"/>
    </w:rPr>
  </w:style>
  <w:style w:type="paragraph" w:customStyle="1" w:styleId="SectionNumber">
    <w:name w:val="SectionNumber"/>
    <w:basedOn w:val="Normal"/>
    <w:pPr>
      <w:spacing w:before="240" w:line="240" w:lineRule="auto"/>
    </w:pPr>
    <w:rPr>
      <w:caps/>
      <w:sz w:val="41"/>
    </w:rPr>
  </w:style>
  <w:style w:type="paragraph" w:customStyle="1" w:styleId="Acronym">
    <w:name w:val="Acronym"/>
    <w:basedOn w:val="BodyText"/>
    <w:next w:val="BodyText"/>
    <w:link w:val="AcronymChar"/>
    <w:qFormat/>
  </w:style>
  <w:style w:type="paragraph" w:customStyle="1" w:styleId="Letter2ndPgHeader">
    <w:name w:val="Letter2ndPgHeader"/>
    <w:basedOn w:val="Normal"/>
    <w:pPr>
      <w:spacing w:line="240" w:lineRule="auto"/>
    </w:pPr>
  </w:style>
  <w:style w:type="paragraph" w:styleId="TOC2">
    <w:name w:val="toc 2"/>
    <w:basedOn w:val="Normal"/>
    <w:uiPriority w:val="39"/>
    <w:pPr>
      <w:tabs>
        <w:tab w:val="left" w:pos="2000"/>
        <w:tab w:val="right" w:leader="dot" w:pos="9360"/>
      </w:tabs>
      <w:spacing w:line="240" w:lineRule="auto"/>
      <w:ind w:left="2002" w:hanging="562"/>
    </w:pPr>
  </w:style>
  <w:style w:type="paragraph" w:styleId="TOC1">
    <w:name w:val="toc 1"/>
    <w:basedOn w:val="Normal"/>
    <w:uiPriority w:val="39"/>
    <w:pPr>
      <w:tabs>
        <w:tab w:val="right" w:leader="dot" w:pos="9360"/>
      </w:tabs>
      <w:spacing w:before="240" w:after="240" w:line="240" w:lineRule="auto"/>
      <w:ind w:left="1440" w:hanging="1440"/>
    </w:pPr>
    <w:rPr>
      <w:rFonts w:ascii="Arial Bold" w:hAnsi="Arial Bold"/>
      <w:b/>
      <w:bCs/>
    </w:rPr>
  </w:style>
  <w:style w:type="paragraph" w:styleId="TOC3">
    <w:name w:val="toc 3"/>
    <w:basedOn w:val="Normal"/>
    <w:uiPriority w:val="39"/>
    <w:pPr>
      <w:tabs>
        <w:tab w:val="left" w:pos="2700"/>
        <w:tab w:val="right" w:leader="dot" w:pos="9360"/>
      </w:tabs>
      <w:spacing w:line="240" w:lineRule="auto"/>
      <w:ind w:left="2708" w:hanging="706"/>
    </w:pPr>
  </w:style>
  <w:style w:type="paragraph" w:styleId="TOC4">
    <w:name w:val="toc 4"/>
    <w:basedOn w:val="Normal"/>
    <w:next w:val="Normal"/>
    <w:uiPriority w:val="39"/>
    <w:rsid w:val="00383D01"/>
    <w:pPr>
      <w:tabs>
        <w:tab w:val="left" w:pos="3600"/>
        <w:tab w:val="right" w:leader="dot" w:pos="9360"/>
      </w:tabs>
      <w:spacing w:line="240" w:lineRule="auto"/>
      <w:ind w:left="3614" w:hanging="907"/>
    </w:p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uiPriority w:val="39"/>
    <w:pPr>
      <w:ind w:left="1840"/>
    </w:pPr>
  </w:style>
  <w:style w:type="character" w:styleId="Hyperlink">
    <w:name w:val="Hyperlink"/>
    <w:uiPriority w:val="99"/>
    <w:rPr>
      <w:color w:val="0000FF"/>
      <w:u w:val="single"/>
    </w:rPr>
  </w:style>
  <w:style w:type="paragraph" w:customStyle="1" w:styleId="Window-ProjectType">
    <w:name w:val="Window-Project Type"/>
    <w:basedOn w:val="Normal"/>
    <w:pPr>
      <w:spacing w:before="120" w:line="240" w:lineRule="auto"/>
    </w:pPr>
    <w:rPr>
      <w:rFonts w:ascii="Arial" w:hAnsi="Arial" w:cs="Arial"/>
      <w:b/>
      <w:bCs/>
      <w:smallCaps/>
    </w:rPr>
  </w:style>
  <w:style w:type="paragraph" w:customStyle="1" w:styleId="Window-TitleandLocation">
    <w:name w:val="Window-Title and Location"/>
    <w:basedOn w:val="Normal"/>
    <w:pPr>
      <w:spacing w:before="240" w:line="240" w:lineRule="auto"/>
    </w:pPr>
    <w:rPr>
      <w:rFonts w:ascii="Arial" w:hAnsi="Arial" w:cs="Arial"/>
      <w:smallCaps/>
    </w:rPr>
  </w:style>
  <w:style w:type="paragraph" w:customStyle="1" w:styleId="Window-Preparedfor">
    <w:name w:val="Window-Prepared for"/>
    <w:basedOn w:val="Normal"/>
    <w:pPr>
      <w:spacing w:before="280" w:line="240" w:lineRule="auto"/>
    </w:pPr>
    <w:rPr>
      <w:rFonts w:ascii="Arial" w:hAnsi="Arial" w:cs="Arial"/>
      <w:smallCaps/>
    </w:rPr>
  </w:style>
  <w:style w:type="paragraph" w:customStyle="1" w:styleId="Window-Company">
    <w:name w:val="Window-Company"/>
    <w:basedOn w:val="Normal"/>
    <w:pPr>
      <w:spacing w:before="80" w:line="240" w:lineRule="auto"/>
    </w:pPr>
    <w:rPr>
      <w:rFonts w:ascii="Arial" w:hAnsi="Arial" w:cs="Arial"/>
      <w:b/>
      <w:bCs/>
      <w:smallCaps/>
    </w:rPr>
  </w:style>
  <w:style w:type="paragraph" w:customStyle="1" w:styleId="Window-ProjectNmbr">
    <w:name w:val="Window-Project Nmbr"/>
    <w:basedOn w:val="Normal"/>
    <w:pPr>
      <w:spacing w:before="240" w:line="240" w:lineRule="auto"/>
    </w:pPr>
    <w:rPr>
      <w:rFonts w:ascii="Arial" w:hAnsi="Arial" w:cs="Arial"/>
      <w:smallCaps/>
    </w:rPr>
  </w:style>
  <w:style w:type="paragraph" w:customStyle="1" w:styleId="Window-Date">
    <w:name w:val="Window-Date"/>
    <w:basedOn w:val="Normal"/>
    <w:pPr>
      <w:spacing w:before="240" w:line="240" w:lineRule="auto"/>
    </w:pPr>
    <w:rPr>
      <w:rFonts w:ascii="Arial" w:hAnsi="Arial" w:cs="Arial"/>
      <w:b/>
      <w:bCs/>
      <w:smallCaps/>
    </w:rPr>
  </w:style>
  <w:style w:type="paragraph" w:customStyle="1" w:styleId="CoverType">
    <w:name w:val="CoverType"/>
    <w:basedOn w:val="Normal"/>
    <w:rPr>
      <w:rFonts w:ascii="Impact" w:hAnsi="Impact"/>
      <w:caps/>
      <w:spacing w:val="120"/>
      <w:sz w:val="26"/>
    </w:rPr>
  </w:style>
  <w:style w:type="paragraph" w:customStyle="1" w:styleId="CoverTitle">
    <w:name w:val="CoverTitle"/>
    <w:basedOn w:val="Normal"/>
    <w:rPr>
      <w:caps/>
      <w:sz w:val="40"/>
    </w:rPr>
  </w:style>
  <w:style w:type="paragraph" w:customStyle="1" w:styleId="CoverClient">
    <w:name w:val="CoverClient"/>
    <w:basedOn w:val="Normal"/>
    <w:pPr>
      <w:spacing w:line="240" w:lineRule="auto"/>
    </w:pPr>
  </w:style>
  <w:style w:type="paragraph" w:customStyle="1" w:styleId="CoverSigblock">
    <w:name w:val="CoverSigblock"/>
    <w:basedOn w:val="CoverClient"/>
  </w:style>
  <w:style w:type="paragraph" w:customStyle="1" w:styleId="CoverDate">
    <w:name w:val="CoverDate"/>
    <w:basedOn w:val="Normal"/>
    <w:pPr>
      <w:spacing w:line="240" w:lineRule="auto"/>
    </w:pPr>
  </w:style>
  <w:style w:type="paragraph" w:customStyle="1" w:styleId="CoverSubsidiary">
    <w:name w:val="CoverSubsidiary"/>
    <w:basedOn w:val="Normal"/>
    <w:pPr>
      <w:spacing w:line="240" w:lineRule="auto"/>
    </w:pPr>
    <w:rPr>
      <w:rFonts w:ascii="Arial" w:hAnsi="Arial" w:cs="Arial"/>
      <w:sz w:val="20"/>
    </w:rPr>
  </w:style>
  <w:style w:type="paragraph" w:customStyle="1" w:styleId="TblFigAppText">
    <w:name w:val="TblFigAppText"/>
    <w:basedOn w:val="Normal"/>
    <w:pPr>
      <w:tabs>
        <w:tab w:val="left" w:pos="1440"/>
      </w:tabs>
      <w:spacing w:line="240" w:lineRule="auto"/>
      <w:ind w:left="1440" w:hanging="1440"/>
    </w:pPr>
  </w:style>
  <w:style w:type="paragraph" w:customStyle="1" w:styleId="Reference">
    <w:name w:val="Reference"/>
    <w:basedOn w:val="Normal"/>
    <w:qFormat/>
    <w:rsid w:val="00A92D0F"/>
    <w:pPr>
      <w:spacing w:after="240"/>
      <w:ind w:left="720" w:hanging="720"/>
      <w:jc w:val="both"/>
    </w:pPr>
  </w:style>
  <w:style w:type="paragraph" w:customStyle="1" w:styleId="ListBulletLast">
    <w:name w:val="List Bullet Last"/>
    <w:basedOn w:val="ListBullet"/>
    <w:rsid w:val="00F500B0"/>
    <w:pPr>
      <w:spacing w:after="240"/>
    </w:pPr>
  </w:style>
  <w:style w:type="table" w:styleId="TableGrid">
    <w:name w:val="Table Grid"/>
    <w:basedOn w:val="TableNormal"/>
    <w:rsid w:val="00466EE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0F1459"/>
    <w:pPr>
      <w:tabs>
        <w:tab w:val="left" w:pos="1440"/>
      </w:tabs>
      <w:ind w:left="1440" w:hanging="1440"/>
    </w:pPr>
  </w:style>
  <w:style w:type="paragraph" w:styleId="DocumentMap">
    <w:name w:val="Document Map"/>
    <w:basedOn w:val="Normal"/>
    <w:semiHidden/>
    <w:rsid w:val="00E174B1"/>
    <w:pPr>
      <w:shd w:val="clear" w:color="auto" w:fill="000080"/>
    </w:pPr>
    <w:rPr>
      <w:rFonts w:ascii="Tahoma" w:hAnsi="Tahoma" w:cs="Tahoma"/>
      <w:sz w:val="20"/>
    </w:rPr>
  </w:style>
  <w:style w:type="paragraph" w:styleId="BalloonText">
    <w:name w:val="Balloon Text"/>
    <w:basedOn w:val="Normal"/>
    <w:link w:val="BalloonTextChar"/>
    <w:rsid w:val="00226E86"/>
    <w:pPr>
      <w:spacing w:line="240" w:lineRule="auto"/>
    </w:pPr>
    <w:rPr>
      <w:rFonts w:ascii="Tahoma" w:hAnsi="Tahoma" w:cs="Tahoma"/>
      <w:sz w:val="16"/>
      <w:szCs w:val="16"/>
    </w:rPr>
  </w:style>
  <w:style w:type="character" w:customStyle="1" w:styleId="BalloonTextChar">
    <w:name w:val="Balloon Text Char"/>
    <w:link w:val="BalloonText"/>
    <w:rsid w:val="00226E86"/>
    <w:rPr>
      <w:rFonts w:ascii="Tahoma" w:hAnsi="Tahoma" w:cs="Tahoma"/>
      <w:sz w:val="16"/>
      <w:szCs w:val="16"/>
    </w:rPr>
  </w:style>
  <w:style w:type="character" w:customStyle="1" w:styleId="BodyTextChar">
    <w:name w:val="Body Text Char"/>
    <w:link w:val="BodyText"/>
    <w:uiPriority w:val="99"/>
    <w:rsid w:val="00375579"/>
    <w:rPr>
      <w:sz w:val="22"/>
    </w:rPr>
  </w:style>
  <w:style w:type="character" w:customStyle="1" w:styleId="AcronymChar">
    <w:name w:val="Acronym Char"/>
    <w:link w:val="Acronym"/>
    <w:rsid w:val="00375579"/>
    <w:rPr>
      <w:sz w:val="22"/>
    </w:rPr>
  </w:style>
  <w:style w:type="paragraph" w:customStyle="1" w:styleId="Photograph">
    <w:name w:val="Photograph"/>
    <w:basedOn w:val="FigureTitle"/>
    <w:next w:val="BodyText"/>
    <w:rsid w:val="00C04F1F"/>
  </w:style>
  <w:style w:type="character" w:customStyle="1" w:styleId="ExhibitTitleChar">
    <w:name w:val="Exhibit Title Char"/>
    <w:link w:val="ExhibitTitle"/>
    <w:rsid w:val="000A26AC"/>
    <w:rPr>
      <w:b/>
      <w:sz w:val="22"/>
    </w:rPr>
  </w:style>
  <w:style w:type="paragraph" w:customStyle="1" w:styleId="ExhibitTitle">
    <w:name w:val="Exhibit Title"/>
    <w:basedOn w:val="BodyText"/>
    <w:link w:val="ExhibitTitleChar"/>
    <w:rsid w:val="000A26AC"/>
    <w:pPr>
      <w:keepNext/>
      <w:keepLines/>
      <w:jc w:val="center"/>
    </w:pPr>
    <w:rPr>
      <w:b/>
    </w:rPr>
  </w:style>
  <w:style w:type="paragraph" w:customStyle="1" w:styleId="AddressBlock">
    <w:name w:val="Address Block"/>
    <w:basedOn w:val="Normal"/>
    <w:rsid w:val="000F0C4F"/>
    <w:pPr>
      <w:spacing w:line="200" w:lineRule="exact"/>
    </w:pPr>
    <w:rPr>
      <w:rFonts w:ascii="Arial" w:eastAsia="Arial" w:hAnsi="Arial"/>
      <w:sz w:val="14"/>
      <w:szCs w:val="22"/>
    </w:rPr>
  </w:style>
  <w:style w:type="paragraph" w:styleId="ListParagraph">
    <w:name w:val="List Paragraph"/>
    <w:basedOn w:val="Normal"/>
    <w:uiPriority w:val="34"/>
    <w:rsid w:val="007533C3"/>
    <w:pPr>
      <w:ind w:left="720"/>
      <w:contextualSpacing/>
    </w:pPr>
  </w:style>
  <w:style w:type="paragraph" w:styleId="FootnoteText">
    <w:name w:val="footnote text"/>
    <w:basedOn w:val="Normal"/>
    <w:link w:val="FootnoteTextChar"/>
    <w:rsid w:val="008C33C0"/>
    <w:pPr>
      <w:spacing w:line="240" w:lineRule="auto"/>
    </w:pPr>
    <w:rPr>
      <w:sz w:val="20"/>
    </w:rPr>
  </w:style>
  <w:style w:type="character" w:customStyle="1" w:styleId="FootnoteTextChar">
    <w:name w:val="Footnote Text Char"/>
    <w:basedOn w:val="DefaultParagraphFont"/>
    <w:link w:val="FootnoteText"/>
    <w:rsid w:val="008C33C0"/>
  </w:style>
  <w:style w:type="character" w:styleId="FootnoteReference">
    <w:name w:val="footnote reference"/>
    <w:basedOn w:val="DefaultParagraphFont"/>
    <w:rsid w:val="008C33C0"/>
    <w:rPr>
      <w:vertAlign w:val="superscript"/>
    </w:rPr>
  </w:style>
  <w:style w:type="character" w:styleId="CommentReference">
    <w:name w:val="annotation reference"/>
    <w:basedOn w:val="DefaultParagraphFont"/>
    <w:rsid w:val="00A900BB"/>
    <w:rPr>
      <w:sz w:val="16"/>
      <w:szCs w:val="16"/>
    </w:rPr>
  </w:style>
  <w:style w:type="paragraph" w:styleId="CommentText">
    <w:name w:val="annotation text"/>
    <w:basedOn w:val="Normal"/>
    <w:link w:val="CommentTextChar"/>
    <w:rsid w:val="00A900BB"/>
    <w:pPr>
      <w:spacing w:line="240" w:lineRule="auto"/>
    </w:pPr>
    <w:rPr>
      <w:sz w:val="20"/>
    </w:rPr>
  </w:style>
  <w:style w:type="character" w:customStyle="1" w:styleId="CommentTextChar">
    <w:name w:val="Comment Text Char"/>
    <w:basedOn w:val="DefaultParagraphFont"/>
    <w:link w:val="CommentText"/>
    <w:rsid w:val="00A900BB"/>
  </w:style>
  <w:style w:type="paragraph" w:styleId="CommentSubject">
    <w:name w:val="annotation subject"/>
    <w:basedOn w:val="CommentText"/>
    <w:next w:val="CommentText"/>
    <w:link w:val="CommentSubjectChar"/>
    <w:rsid w:val="00A900BB"/>
    <w:rPr>
      <w:b/>
      <w:bCs/>
    </w:rPr>
  </w:style>
  <w:style w:type="character" w:customStyle="1" w:styleId="CommentSubjectChar">
    <w:name w:val="Comment Subject Char"/>
    <w:basedOn w:val="CommentTextChar"/>
    <w:link w:val="CommentSubject"/>
    <w:rsid w:val="00A900BB"/>
    <w:rPr>
      <w:b/>
      <w:bCs/>
    </w:rPr>
  </w:style>
  <w:style w:type="paragraph" w:styleId="Revision">
    <w:name w:val="Revision"/>
    <w:hidden/>
    <w:uiPriority w:val="99"/>
    <w:semiHidden/>
    <w:rsid w:val="008806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658">
      <w:bodyDiv w:val="1"/>
      <w:marLeft w:val="0"/>
      <w:marRight w:val="0"/>
      <w:marTop w:val="0"/>
      <w:marBottom w:val="0"/>
      <w:divBdr>
        <w:top w:val="none" w:sz="0" w:space="0" w:color="auto"/>
        <w:left w:val="none" w:sz="0" w:space="0" w:color="auto"/>
        <w:bottom w:val="none" w:sz="0" w:space="0" w:color="auto"/>
        <w:right w:val="none" w:sz="0" w:space="0" w:color="auto"/>
      </w:divBdr>
    </w:div>
    <w:div w:id="79760162">
      <w:bodyDiv w:val="1"/>
      <w:marLeft w:val="0"/>
      <w:marRight w:val="0"/>
      <w:marTop w:val="0"/>
      <w:marBottom w:val="0"/>
      <w:divBdr>
        <w:top w:val="none" w:sz="0" w:space="0" w:color="auto"/>
        <w:left w:val="none" w:sz="0" w:space="0" w:color="auto"/>
        <w:bottom w:val="none" w:sz="0" w:space="0" w:color="auto"/>
        <w:right w:val="none" w:sz="0" w:space="0" w:color="auto"/>
      </w:divBdr>
    </w:div>
    <w:div w:id="82997953">
      <w:bodyDiv w:val="1"/>
      <w:marLeft w:val="0"/>
      <w:marRight w:val="0"/>
      <w:marTop w:val="0"/>
      <w:marBottom w:val="0"/>
      <w:divBdr>
        <w:top w:val="none" w:sz="0" w:space="0" w:color="auto"/>
        <w:left w:val="none" w:sz="0" w:space="0" w:color="auto"/>
        <w:bottom w:val="none" w:sz="0" w:space="0" w:color="auto"/>
        <w:right w:val="none" w:sz="0" w:space="0" w:color="auto"/>
      </w:divBdr>
    </w:div>
    <w:div w:id="100877296">
      <w:bodyDiv w:val="1"/>
      <w:marLeft w:val="0"/>
      <w:marRight w:val="0"/>
      <w:marTop w:val="0"/>
      <w:marBottom w:val="0"/>
      <w:divBdr>
        <w:top w:val="none" w:sz="0" w:space="0" w:color="auto"/>
        <w:left w:val="none" w:sz="0" w:space="0" w:color="auto"/>
        <w:bottom w:val="none" w:sz="0" w:space="0" w:color="auto"/>
        <w:right w:val="none" w:sz="0" w:space="0" w:color="auto"/>
      </w:divBdr>
    </w:div>
    <w:div w:id="115107047">
      <w:bodyDiv w:val="1"/>
      <w:marLeft w:val="0"/>
      <w:marRight w:val="0"/>
      <w:marTop w:val="0"/>
      <w:marBottom w:val="0"/>
      <w:divBdr>
        <w:top w:val="none" w:sz="0" w:space="0" w:color="auto"/>
        <w:left w:val="none" w:sz="0" w:space="0" w:color="auto"/>
        <w:bottom w:val="none" w:sz="0" w:space="0" w:color="auto"/>
        <w:right w:val="none" w:sz="0" w:space="0" w:color="auto"/>
      </w:divBdr>
    </w:div>
    <w:div w:id="124734334">
      <w:bodyDiv w:val="1"/>
      <w:marLeft w:val="0"/>
      <w:marRight w:val="0"/>
      <w:marTop w:val="0"/>
      <w:marBottom w:val="0"/>
      <w:divBdr>
        <w:top w:val="none" w:sz="0" w:space="0" w:color="auto"/>
        <w:left w:val="none" w:sz="0" w:space="0" w:color="auto"/>
        <w:bottom w:val="none" w:sz="0" w:space="0" w:color="auto"/>
        <w:right w:val="none" w:sz="0" w:space="0" w:color="auto"/>
      </w:divBdr>
    </w:div>
    <w:div w:id="130488420">
      <w:bodyDiv w:val="1"/>
      <w:marLeft w:val="0"/>
      <w:marRight w:val="0"/>
      <w:marTop w:val="0"/>
      <w:marBottom w:val="0"/>
      <w:divBdr>
        <w:top w:val="none" w:sz="0" w:space="0" w:color="auto"/>
        <w:left w:val="none" w:sz="0" w:space="0" w:color="auto"/>
        <w:bottom w:val="none" w:sz="0" w:space="0" w:color="auto"/>
        <w:right w:val="none" w:sz="0" w:space="0" w:color="auto"/>
      </w:divBdr>
    </w:div>
    <w:div w:id="140269331">
      <w:bodyDiv w:val="1"/>
      <w:marLeft w:val="0"/>
      <w:marRight w:val="0"/>
      <w:marTop w:val="0"/>
      <w:marBottom w:val="0"/>
      <w:divBdr>
        <w:top w:val="none" w:sz="0" w:space="0" w:color="auto"/>
        <w:left w:val="none" w:sz="0" w:space="0" w:color="auto"/>
        <w:bottom w:val="none" w:sz="0" w:space="0" w:color="auto"/>
        <w:right w:val="none" w:sz="0" w:space="0" w:color="auto"/>
      </w:divBdr>
    </w:div>
    <w:div w:id="178664498">
      <w:bodyDiv w:val="1"/>
      <w:marLeft w:val="0"/>
      <w:marRight w:val="0"/>
      <w:marTop w:val="0"/>
      <w:marBottom w:val="0"/>
      <w:divBdr>
        <w:top w:val="none" w:sz="0" w:space="0" w:color="auto"/>
        <w:left w:val="none" w:sz="0" w:space="0" w:color="auto"/>
        <w:bottom w:val="none" w:sz="0" w:space="0" w:color="auto"/>
        <w:right w:val="none" w:sz="0" w:space="0" w:color="auto"/>
      </w:divBdr>
    </w:div>
    <w:div w:id="190456265">
      <w:bodyDiv w:val="1"/>
      <w:marLeft w:val="0"/>
      <w:marRight w:val="0"/>
      <w:marTop w:val="0"/>
      <w:marBottom w:val="0"/>
      <w:divBdr>
        <w:top w:val="none" w:sz="0" w:space="0" w:color="auto"/>
        <w:left w:val="none" w:sz="0" w:space="0" w:color="auto"/>
        <w:bottom w:val="none" w:sz="0" w:space="0" w:color="auto"/>
        <w:right w:val="none" w:sz="0" w:space="0" w:color="auto"/>
      </w:divBdr>
    </w:div>
    <w:div w:id="237523231">
      <w:bodyDiv w:val="1"/>
      <w:marLeft w:val="0"/>
      <w:marRight w:val="0"/>
      <w:marTop w:val="0"/>
      <w:marBottom w:val="0"/>
      <w:divBdr>
        <w:top w:val="none" w:sz="0" w:space="0" w:color="auto"/>
        <w:left w:val="none" w:sz="0" w:space="0" w:color="auto"/>
        <w:bottom w:val="none" w:sz="0" w:space="0" w:color="auto"/>
        <w:right w:val="none" w:sz="0" w:space="0" w:color="auto"/>
      </w:divBdr>
    </w:div>
    <w:div w:id="268393462">
      <w:bodyDiv w:val="1"/>
      <w:marLeft w:val="0"/>
      <w:marRight w:val="0"/>
      <w:marTop w:val="0"/>
      <w:marBottom w:val="0"/>
      <w:divBdr>
        <w:top w:val="none" w:sz="0" w:space="0" w:color="auto"/>
        <w:left w:val="none" w:sz="0" w:space="0" w:color="auto"/>
        <w:bottom w:val="none" w:sz="0" w:space="0" w:color="auto"/>
        <w:right w:val="none" w:sz="0" w:space="0" w:color="auto"/>
      </w:divBdr>
    </w:div>
    <w:div w:id="274753909">
      <w:bodyDiv w:val="1"/>
      <w:marLeft w:val="0"/>
      <w:marRight w:val="0"/>
      <w:marTop w:val="0"/>
      <w:marBottom w:val="0"/>
      <w:divBdr>
        <w:top w:val="none" w:sz="0" w:space="0" w:color="auto"/>
        <w:left w:val="none" w:sz="0" w:space="0" w:color="auto"/>
        <w:bottom w:val="none" w:sz="0" w:space="0" w:color="auto"/>
        <w:right w:val="none" w:sz="0" w:space="0" w:color="auto"/>
      </w:divBdr>
    </w:div>
    <w:div w:id="282228193">
      <w:bodyDiv w:val="1"/>
      <w:marLeft w:val="0"/>
      <w:marRight w:val="0"/>
      <w:marTop w:val="0"/>
      <w:marBottom w:val="0"/>
      <w:divBdr>
        <w:top w:val="none" w:sz="0" w:space="0" w:color="auto"/>
        <w:left w:val="none" w:sz="0" w:space="0" w:color="auto"/>
        <w:bottom w:val="none" w:sz="0" w:space="0" w:color="auto"/>
        <w:right w:val="none" w:sz="0" w:space="0" w:color="auto"/>
      </w:divBdr>
    </w:div>
    <w:div w:id="323434665">
      <w:bodyDiv w:val="1"/>
      <w:marLeft w:val="0"/>
      <w:marRight w:val="0"/>
      <w:marTop w:val="0"/>
      <w:marBottom w:val="0"/>
      <w:divBdr>
        <w:top w:val="none" w:sz="0" w:space="0" w:color="auto"/>
        <w:left w:val="none" w:sz="0" w:space="0" w:color="auto"/>
        <w:bottom w:val="none" w:sz="0" w:space="0" w:color="auto"/>
        <w:right w:val="none" w:sz="0" w:space="0" w:color="auto"/>
      </w:divBdr>
    </w:div>
    <w:div w:id="349526709">
      <w:bodyDiv w:val="1"/>
      <w:marLeft w:val="0"/>
      <w:marRight w:val="0"/>
      <w:marTop w:val="0"/>
      <w:marBottom w:val="0"/>
      <w:divBdr>
        <w:top w:val="none" w:sz="0" w:space="0" w:color="auto"/>
        <w:left w:val="none" w:sz="0" w:space="0" w:color="auto"/>
        <w:bottom w:val="none" w:sz="0" w:space="0" w:color="auto"/>
        <w:right w:val="none" w:sz="0" w:space="0" w:color="auto"/>
      </w:divBdr>
    </w:div>
    <w:div w:id="372076401">
      <w:bodyDiv w:val="1"/>
      <w:marLeft w:val="0"/>
      <w:marRight w:val="0"/>
      <w:marTop w:val="0"/>
      <w:marBottom w:val="0"/>
      <w:divBdr>
        <w:top w:val="none" w:sz="0" w:space="0" w:color="auto"/>
        <w:left w:val="none" w:sz="0" w:space="0" w:color="auto"/>
        <w:bottom w:val="none" w:sz="0" w:space="0" w:color="auto"/>
        <w:right w:val="none" w:sz="0" w:space="0" w:color="auto"/>
      </w:divBdr>
    </w:div>
    <w:div w:id="429785558">
      <w:bodyDiv w:val="1"/>
      <w:marLeft w:val="0"/>
      <w:marRight w:val="0"/>
      <w:marTop w:val="0"/>
      <w:marBottom w:val="0"/>
      <w:divBdr>
        <w:top w:val="none" w:sz="0" w:space="0" w:color="auto"/>
        <w:left w:val="none" w:sz="0" w:space="0" w:color="auto"/>
        <w:bottom w:val="none" w:sz="0" w:space="0" w:color="auto"/>
        <w:right w:val="none" w:sz="0" w:space="0" w:color="auto"/>
      </w:divBdr>
    </w:div>
    <w:div w:id="450167402">
      <w:bodyDiv w:val="1"/>
      <w:marLeft w:val="0"/>
      <w:marRight w:val="0"/>
      <w:marTop w:val="0"/>
      <w:marBottom w:val="0"/>
      <w:divBdr>
        <w:top w:val="none" w:sz="0" w:space="0" w:color="auto"/>
        <w:left w:val="none" w:sz="0" w:space="0" w:color="auto"/>
        <w:bottom w:val="none" w:sz="0" w:space="0" w:color="auto"/>
        <w:right w:val="none" w:sz="0" w:space="0" w:color="auto"/>
      </w:divBdr>
    </w:div>
    <w:div w:id="479083883">
      <w:bodyDiv w:val="1"/>
      <w:marLeft w:val="0"/>
      <w:marRight w:val="0"/>
      <w:marTop w:val="0"/>
      <w:marBottom w:val="0"/>
      <w:divBdr>
        <w:top w:val="none" w:sz="0" w:space="0" w:color="auto"/>
        <w:left w:val="none" w:sz="0" w:space="0" w:color="auto"/>
        <w:bottom w:val="none" w:sz="0" w:space="0" w:color="auto"/>
        <w:right w:val="none" w:sz="0" w:space="0" w:color="auto"/>
      </w:divBdr>
    </w:div>
    <w:div w:id="535703455">
      <w:bodyDiv w:val="1"/>
      <w:marLeft w:val="0"/>
      <w:marRight w:val="0"/>
      <w:marTop w:val="0"/>
      <w:marBottom w:val="0"/>
      <w:divBdr>
        <w:top w:val="none" w:sz="0" w:space="0" w:color="auto"/>
        <w:left w:val="none" w:sz="0" w:space="0" w:color="auto"/>
        <w:bottom w:val="none" w:sz="0" w:space="0" w:color="auto"/>
        <w:right w:val="none" w:sz="0" w:space="0" w:color="auto"/>
      </w:divBdr>
    </w:div>
    <w:div w:id="619070925">
      <w:bodyDiv w:val="1"/>
      <w:marLeft w:val="0"/>
      <w:marRight w:val="0"/>
      <w:marTop w:val="0"/>
      <w:marBottom w:val="0"/>
      <w:divBdr>
        <w:top w:val="none" w:sz="0" w:space="0" w:color="auto"/>
        <w:left w:val="none" w:sz="0" w:space="0" w:color="auto"/>
        <w:bottom w:val="none" w:sz="0" w:space="0" w:color="auto"/>
        <w:right w:val="none" w:sz="0" w:space="0" w:color="auto"/>
      </w:divBdr>
    </w:div>
    <w:div w:id="642463750">
      <w:bodyDiv w:val="1"/>
      <w:marLeft w:val="0"/>
      <w:marRight w:val="0"/>
      <w:marTop w:val="0"/>
      <w:marBottom w:val="0"/>
      <w:divBdr>
        <w:top w:val="none" w:sz="0" w:space="0" w:color="auto"/>
        <w:left w:val="none" w:sz="0" w:space="0" w:color="auto"/>
        <w:bottom w:val="none" w:sz="0" w:space="0" w:color="auto"/>
        <w:right w:val="none" w:sz="0" w:space="0" w:color="auto"/>
      </w:divBdr>
    </w:div>
    <w:div w:id="670183698">
      <w:bodyDiv w:val="1"/>
      <w:marLeft w:val="0"/>
      <w:marRight w:val="0"/>
      <w:marTop w:val="0"/>
      <w:marBottom w:val="0"/>
      <w:divBdr>
        <w:top w:val="none" w:sz="0" w:space="0" w:color="auto"/>
        <w:left w:val="none" w:sz="0" w:space="0" w:color="auto"/>
        <w:bottom w:val="none" w:sz="0" w:space="0" w:color="auto"/>
        <w:right w:val="none" w:sz="0" w:space="0" w:color="auto"/>
      </w:divBdr>
    </w:div>
    <w:div w:id="672683100">
      <w:bodyDiv w:val="1"/>
      <w:marLeft w:val="0"/>
      <w:marRight w:val="0"/>
      <w:marTop w:val="0"/>
      <w:marBottom w:val="0"/>
      <w:divBdr>
        <w:top w:val="none" w:sz="0" w:space="0" w:color="auto"/>
        <w:left w:val="none" w:sz="0" w:space="0" w:color="auto"/>
        <w:bottom w:val="none" w:sz="0" w:space="0" w:color="auto"/>
        <w:right w:val="none" w:sz="0" w:space="0" w:color="auto"/>
      </w:divBdr>
    </w:div>
    <w:div w:id="706570373">
      <w:bodyDiv w:val="1"/>
      <w:marLeft w:val="0"/>
      <w:marRight w:val="0"/>
      <w:marTop w:val="0"/>
      <w:marBottom w:val="0"/>
      <w:divBdr>
        <w:top w:val="none" w:sz="0" w:space="0" w:color="auto"/>
        <w:left w:val="none" w:sz="0" w:space="0" w:color="auto"/>
        <w:bottom w:val="none" w:sz="0" w:space="0" w:color="auto"/>
        <w:right w:val="none" w:sz="0" w:space="0" w:color="auto"/>
      </w:divBdr>
    </w:div>
    <w:div w:id="712929467">
      <w:bodyDiv w:val="1"/>
      <w:marLeft w:val="0"/>
      <w:marRight w:val="0"/>
      <w:marTop w:val="0"/>
      <w:marBottom w:val="0"/>
      <w:divBdr>
        <w:top w:val="none" w:sz="0" w:space="0" w:color="auto"/>
        <w:left w:val="none" w:sz="0" w:space="0" w:color="auto"/>
        <w:bottom w:val="none" w:sz="0" w:space="0" w:color="auto"/>
        <w:right w:val="none" w:sz="0" w:space="0" w:color="auto"/>
      </w:divBdr>
    </w:div>
    <w:div w:id="771129210">
      <w:bodyDiv w:val="1"/>
      <w:marLeft w:val="0"/>
      <w:marRight w:val="0"/>
      <w:marTop w:val="0"/>
      <w:marBottom w:val="0"/>
      <w:divBdr>
        <w:top w:val="none" w:sz="0" w:space="0" w:color="auto"/>
        <w:left w:val="none" w:sz="0" w:space="0" w:color="auto"/>
        <w:bottom w:val="none" w:sz="0" w:space="0" w:color="auto"/>
        <w:right w:val="none" w:sz="0" w:space="0" w:color="auto"/>
      </w:divBdr>
    </w:div>
    <w:div w:id="794904601">
      <w:bodyDiv w:val="1"/>
      <w:marLeft w:val="0"/>
      <w:marRight w:val="0"/>
      <w:marTop w:val="0"/>
      <w:marBottom w:val="0"/>
      <w:divBdr>
        <w:top w:val="none" w:sz="0" w:space="0" w:color="auto"/>
        <w:left w:val="none" w:sz="0" w:space="0" w:color="auto"/>
        <w:bottom w:val="none" w:sz="0" w:space="0" w:color="auto"/>
        <w:right w:val="none" w:sz="0" w:space="0" w:color="auto"/>
      </w:divBdr>
    </w:div>
    <w:div w:id="805007064">
      <w:bodyDiv w:val="1"/>
      <w:marLeft w:val="0"/>
      <w:marRight w:val="0"/>
      <w:marTop w:val="0"/>
      <w:marBottom w:val="0"/>
      <w:divBdr>
        <w:top w:val="none" w:sz="0" w:space="0" w:color="auto"/>
        <w:left w:val="none" w:sz="0" w:space="0" w:color="auto"/>
        <w:bottom w:val="none" w:sz="0" w:space="0" w:color="auto"/>
        <w:right w:val="none" w:sz="0" w:space="0" w:color="auto"/>
      </w:divBdr>
    </w:div>
    <w:div w:id="805195644">
      <w:bodyDiv w:val="1"/>
      <w:marLeft w:val="0"/>
      <w:marRight w:val="0"/>
      <w:marTop w:val="0"/>
      <w:marBottom w:val="0"/>
      <w:divBdr>
        <w:top w:val="none" w:sz="0" w:space="0" w:color="auto"/>
        <w:left w:val="none" w:sz="0" w:space="0" w:color="auto"/>
        <w:bottom w:val="none" w:sz="0" w:space="0" w:color="auto"/>
        <w:right w:val="none" w:sz="0" w:space="0" w:color="auto"/>
      </w:divBdr>
    </w:div>
    <w:div w:id="810711141">
      <w:bodyDiv w:val="1"/>
      <w:marLeft w:val="0"/>
      <w:marRight w:val="0"/>
      <w:marTop w:val="0"/>
      <w:marBottom w:val="0"/>
      <w:divBdr>
        <w:top w:val="none" w:sz="0" w:space="0" w:color="auto"/>
        <w:left w:val="none" w:sz="0" w:space="0" w:color="auto"/>
        <w:bottom w:val="none" w:sz="0" w:space="0" w:color="auto"/>
        <w:right w:val="none" w:sz="0" w:space="0" w:color="auto"/>
      </w:divBdr>
    </w:div>
    <w:div w:id="899024647">
      <w:bodyDiv w:val="1"/>
      <w:marLeft w:val="0"/>
      <w:marRight w:val="0"/>
      <w:marTop w:val="0"/>
      <w:marBottom w:val="0"/>
      <w:divBdr>
        <w:top w:val="none" w:sz="0" w:space="0" w:color="auto"/>
        <w:left w:val="none" w:sz="0" w:space="0" w:color="auto"/>
        <w:bottom w:val="none" w:sz="0" w:space="0" w:color="auto"/>
        <w:right w:val="none" w:sz="0" w:space="0" w:color="auto"/>
      </w:divBdr>
    </w:div>
    <w:div w:id="914630494">
      <w:bodyDiv w:val="1"/>
      <w:marLeft w:val="0"/>
      <w:marRight w:val="0"/>
      <w:marTop w:val="0"/>
      <w:marBottom w:val="0"/>
      <w:divBdr>
        <w:top w:val="none" w:sz="0" w:space="0" w:color="auto"/>
        <w:left w:val="none" w:sz="0" w:space="0" w:color="auto"/>
        <w:bottom w:val="none" w:sz="0" w:space="0" w:color="auto"/>
        <w:right w:val="none" w:sz="0" w:space="0" w:color="auto"/>
      </w:divBdr>
    </w:div>
    <w:div w:id="939097093">
      <w:bodyDiv w:val="1"/>
      <w:marLeft w:val="0"/>
      <w:marRight w:val="0"/>
      <w:marTop w:val="0"/>
      <w:marBottom w:val="0"/>
      <w:divBdr>
        <w:top w:val="none" w:sz="0" w:space="0" w:color="auto"/>
        <w:left w:val="none" w:sz="0" w:space="0" w:color="auto"/>
        <w:bottom w:val="none" w:sz="0" w:space="0" w:color="auto"/>
        <w:right w:val="none" w:sz="0" w:space="0" w:color="auto"/>
      </w:divBdr>
    </w:div>
    <w:div w:id="943658281">
      <w:bodyDiv w:val="1"/>
      <w:marLeft w:val="0"/>
      <w:marRight w:val="0"/>
      <w:marTop w:val="0"/>
      <w:marBottom w:val="0"/>
      <w:divBdr>
        <w:top w:val="none" w:sz="0" w:space="0" w:color="auto"/>
        <w:left w:val="none" w:sz="0" w:space="0" w:color="auto"/>
        <w:bottom w:val="none" w:sz="0" w:space="0" w:color="auto"/>
        <w:right w:val="none" w:sz="0" w:space="0" w:color="auto"/>
      </w:divBdr>
    </w:div>
    <w:div w:id="968437763">
      <w:bodyDiv w:val="1"/>
      <w:marLeft w:val="0"/>
      <w:marRight w:val="0"/>
      <w:marTop w:val="0"/>
      <w:marBottom w:val="0"/>
      <w:divBdr>
        <w:top w:val="none" w:sz="0" w:space="0" w:color="auto"/>
        <w:left w:val="none" w:sz="0" w:space="0" w:color="auto"/>
        <w:bottom w:val="none" w:sz="0" w:space="0" w:color="auto"/>
        <w:right w:val="none" w:sz="0" w:space="0" w:color="auto"/>
      </w:divBdr>
    </w:div>
    <w:div w:id="982924684">
      <w:bodyDiv w:val="1"/>
      <w:marLeft w:val="0"/>
      <w:marRight w:val="0"/>
      <w:marTop w:val="0"/>
      <w:marBottom w:val="0"/>
      <w:divBdr>
        <w:top w:val="none" w:sz="0" w:space="0" w:color="auto"/>
        <w:left w:val="none" w:sz="0" w:space="0" w:color="auto"/>
        <w:bottom w:val="none" w:sz="0" w:space="0" w:color="auto"/>
        <w:right w:val="none" w:sz="0" w:space="0" w:color="auto"/>
      </w:divBdr>
    </w:div>
    <w:div w:id="985890575">
      <w:bodyDiv w:val="1"/>
      <w:marLeft w:val="0"/>
      <w:marRight w:val="0"/>
      <w:marTop w:val="0"/>
      <w:marBottom w:val="0"/>
      <w:divBdr>
        <w:top w:val="none" w:sz="0" w:space="0" w:color="auto"/>
        <w:left w:val="none" w:sz="0" w:space="0" w:color="auto"/>
        <w:bottom w:val="none" w:sz="0" w:space="0" w:color="auto"/>
        <w:right w:val="none" w:sz="0" w:space="0" w:color="auto"/>
      </w:divBdr>
    </w:div>
    <w:div w:id="1009872558">
      <w:bodyDiv w:val="1"/>
      <w:marLeft w:val="0"/>
      <w:marRight w:val="0"/>
      <w:marTop w:val="0"/>
      <w:marBottom w:val="0"/>
      <w:divBdr>
        <w:top w:val="none" w:sz="0" w:space="0" w:color="auto"/>
        <w:left w:val="none" w:sz="0" w:space="0" w:color="auto"/>
        <w:bottom w:val="none" w:sz="0" w:space="0" w:color="auto"/>
        <w:right w:val="none" w:sz="0" w:space="0" w:color="auto"/>
      </w:divBdr>
    </w:div>
    <w:div w:id="1011034139">
      <w:bodyDiv w:val="1"/>
      <w:marLeft w:val="0"/>
      <w:marRight w:val="0"/>
      <w:marTop w:val="0"/>
      <w:marBottom w:val="0"/>
      <w:divBdr>
        <w:top w:val="none" w:sz="0" w:space="0" w:color="auto"/>
        <w:left w:val="none" w:sz="0" w:space="0" w:color="auto"/>
        <w:bottom w:val="none" w:sz="0" w:space="0" w:color="auto"/>
        <w:right w:val="none" w:sz="0" w:space="0" w:color="auto"/>
      </w:divBdr>
    </w:div>
    <w:div w:id="1016269593">
      <w:bodyDiv w:val="1"/>
      <w:marLeft w:val="0"/>
      <w:marRight w:val="0"/>
      <w:marTop w:val="0"/>
      <w:marBottom w:val="0"/>
      <w:divBdr>
        <w:top w:val="none" w:sz="0" w:space="0" w:color="auto"/>
        <w:left w:val="none" w:sz="0" w:space="0" w:color="auto"/>
        <w:bottom w:val="none" w:sz="0" w:space="0" w:color="auto"/>
        <w:right w:val="none" w:sz="0" w:space="0" w:color="auto"/>
      </w:divBdr>
    </w:div>
    <w:div w:id="1037240764">
      <w:bodyDiv w:val="1"/>
      <w:marLeft w:val="0"/>
      <w:marRight w:val="0"/>
      <w:marTop w:val="0"/>
      <w:marBottom w:val="0"/>
      <w:divBdr>
        <w:top w:val="none" w:sz="0" w:space="0" w:color="auto"/>
        <w:left w:val="none" w:sz="0" w:space="0" w:color="auto"/>
        <w:bottom w:val="none" w:sz="0" w:space="0" w:color="auto"/>
        <w:right w:val="none" w:sz="0" w:space="0" w:color="auto"/>
      </w:divBdr>
    </w:div>
    <w:div w:id="1054506981">
      <w:bodyDiv w:val="1"/>
      <w:marLeft w:val="0"/>
      <w:marRight w:val="0"/>
      <w:marTop w:val="0"/>
      <w:marBottom w:val="0"/>
      <w:divBdr>
        <w:top w:val="none" w:sz="0" w:space="0" w:color="auto"/>
        <w:left w:val="none" w:sz="0" w:space="0" w:color="auto"/>
        <w:bottom w:val="none" w:sz="0" w:space="0" w:color="auto"/>
        <w:right w:val="none" w:sz="0" w:space="0" w:color="auto"/>
      </w:divBdr>
    </w:div>
    <w:div w:id="1074737817">
      <w:bodyDiv w:val="1"/>
      <w:marLeft w:val="0"/>
      <w:marRight w:val="0"/>
      <w:marTop w:val="0"/>
      <w:marBottom w:val="0"/>
      <w:divBdr>
        <w:top w:val="none" w:sz="0" w:space="0" w:color="auto"/>
        <w:left w:val="none" w:sz="0" w:space="0" w:color="auto"/>
        <w:bottom w:val="none" w:sz="0" w:space="0" w:color="auto"/>
        <w:right w:val="none" w:sz="0" w:space="0" w:color="auto"/>
      </w:divBdr>
    </w:div>
    <w:div w:id="1080911167">
      <w:bodyDiv w:val="1"/>
      <w:marLeft w:val="0"/>
      <w:marRight w:val="0"/>
      <w:marTop w:val="0"/>
      <w:marBottom w:val="0"/>
      <w:divBdr>
        <w:top w:val="none" w:sz="0" w:space="0" w:color="auto"/>
        <w:left w:val="none" w:sz="0" w:space="0" w:color="auto"/>
        <w:bottom w:val="none" w:sz="0" w:space="0" w:color="auto"/>
        <w:right w:val="none" w:sz="0" w:space="0" w:color="auto"/>
      </w:divBdr>
    </w:div>
    <w:div w:id="1148403794">
      <w:bodyDiv w:val="1"/>
      <w:marLeft w:val="0"/>
      <w:marRight w:val="0"/>
      <w:marTop w:val="0"/>
      <w:marBottom w:val="0"/>
      <w:divBdr>
        <w:top w:val="none" w:sz="0" w:space="0" w:color="auto"/>
        <w:left w:val="none" w:sz="0" w:space="0" w:color="auto"/>
        <w:bottom w:val="none" w:sz="0" w:space="0" w:color="auto"/>
        <w:right w:val="none" w:sz="0" w:space="0" w:color="auto"/>
      </w:divBdr>
    </w:div>
    <w:div w:id="1180198841">
      <w:bodyDiv w:val="1"/>
      <w:marLeft w:val="0"/>
      <w:marRight w:val="0"/>
      <w:marTop w:val="0"/>
      <w:marBottom w:val="0"/>
      <w:divBdr>
        <w:top w:val="none" w:sz="0" w:space="0" w:color="auto"/>
        <w:left w:val="none" w:sz="0" w:space="0" w:color="auto"/>
        <w:bottom w:val="none" w:sz="0" w:space="0" w:color="auto"/>
        <w:right w:val="none" w:sz="0" w:space="0" w:color="auto"/>
      </w:divBdr>
    </w:div>
    <w:div w:id="1199512820">
      <w:bodyDiv w:val="1"/>
      <w:marLeft w:val="0"/>
      <w:marRight w:val="0"/>
      <w:marTop w:val="0"/>
      <w:marBottom w:val="0"/>
      <w:divBdr>
        <w:top w:val="none" w:sz="0" w:space="0" w:color="auto"/>
        <w:left w:val="none" w:sz="0" w:space="0" w:color="auto"/>
        <w:bottom w:val="none" w:sz="0" w:space="0" w:color="auto"/>
        <w:right w:val="none" w:sz="0" w:space="0" w:color="auto"/>
      </w:divBdr>
    </w:div>
    <w:div w:id="1200900217">
      <w:bodyDiv w:val="1"/>
      <w:marLeft w:val="0"/>
      <w:marRight w:val="0"/>
      <w:marTop w:val="0"/>
      <w:marBottom w:val="0"/>
      <w:divBdr>
        <w:top w:val="none" w:sz="0" w:space="0" w:color="auto"/>
        <w:left w:val="none" w:sz="0" w:space="0" w:color="auto"/>
        <w:bottom w:val="none" w:sz="0" w:space="0" w:color="auto"/>
        <w:right w:val="none" w:sz="0" w:space="0" w:color="auto"/>
      </w:divBdr>
    </w:div>
    <w:div w:id="1244990351">
      <w:bodyDiv w:val="1"/>
      <w:marLeft w:val="0"/>
      <w:marRight w:val="0"/>
      <w:marTop w:val="0"/>
      <w:marBottom w:val="0"/>
      <w:divBdr>
        <w:top w:val="none" w:sz="0" w:space="0" w:color="auto"/>
        <w:left w:val="none" w:sz="0" w:space="0" w:color="auto"/>
        <w:bottom w:val="none" w:sz="0" w:space="0" w:color="auto"/>
        <w:right w:val="none" w:sz="0" w:space="0" w:color="auto"/>
      </w:divBdr>
    </w:div>
    <w:div w:id="1245916615">
      <w:bodyDiv w:val="1"/>
      <w:marLeft w:val="0"/>
      <w:marRight w:val="0"/>
      <w:marTop w:val="0"/>
      <w:marBottom w:val="0"/>
      <w:divBdr>
        <w:top w:val="none" w:sz="0" w:space="0" w:color="auto"/>
        <w:left w:val="none" w:sz="0" w:space="0" w:color="auto"/>
        <w:bottom w:val="none" w:sz="0" w:space="0" w:color="auto"/>
        <w:right w:val="none" w:sz="0" w:space="0" w:color="auto"/>
      </w:divBdr>
    </w:div>
    <w:div w:id="1251813864">
      <w:bodyDiv w:val="1"/>
      <w:marLeft w:val="0"/>
      <w:marRight w:val="0"/>
      <w:marTop w:val="0"/>
      <w:marBottom w:val="0"/>
      <w:divBdr>
        <w:top w:val="none" w:sz="0" w:space="0" w:color="auto"/>
        <w:left w:val="none" w:sz="0" w:space="0" w:color="auto"/>
        <w:bottom w:val="none" w:sz="0" w:space="0" w:color="auto"/>
        <w:right w:val="none" w:sz="0" w:space="0" w:color="auto"/>
      </w:divBdr>
    </w:div>
    <w:div w:id="1277638854">
      <w:bodyDiv w:val="1"/>
      <w:marLeft w:val="0"/>
      <w:marRight w:val="0"/>
      <w:marTop w:val="0"/>
      <w:marBottom w:val="0"/>
      <w:divBdr>
        <w:top w:val="none" w:sz="0" w:space="0" w:color="auto"/>
        <w:left w:val="none" w:sz="0" w:space="0" w:color="auto"/>
        <w:bottom w:val="none" w:sz="0" w:space="0" w:color="auto"/>
        <w:right w:val="none" w:sz="0" w:space="0" w:color="auto"/>
      </w:divBdr>
    </w:div>
    <w:div w:id="1309094885">
      <w:bodyDiv w:val="1"/>
      <w:marLeft w:val="0"/>
      <w:marRight w:val="0"/>
      <w:marTop w:val="0"/>
      <w:marBottom w:val="0"/>
      <w:divBdr>
        <w:top w:val="none" w:sz="0" w:space="0" w:color="auto"/>
        <w:left w:val="none" w:sz="0" w:space="0" w:color="auto"/>
        <w:bottom w:val="none" w:sz="0" w:space="0" w:color="auto"/>
        <w:right w:val="none" w:sz="0" w:space="0" w:color="auto"/>
      </w:divBdr>
    </w:div>
    <w:div w:id="1331325470">
      <w:bodyDiv w:val="1"/>
      <w:marLeft w:val="0"/>
      <w:marRight w:val="0"/>
      <w:marTop w:val="0"/>
      <w:marBottom w:val="0"/>
      <w:divBdr>
        <w:top w:val="none" w:sz="0" w:space="0" w:color="auto"/>
        <w:left w:val="none" w:sz="0" w:space="0" w:color="auto"/>
        <w:bottom w:val="none" w:sz="0" w:space="0" w:color="auto"/>
        <w:right w:val="none" w:sz="0" w:space="0" w:color="auto"/>
      </w:divBdr>
    </w:div>
    <w:div w:id="1357150633">
      <w:bodyDiv w:val="1"/>
      <w:marLeft w:val="0"/>
      <w:marRight w:val="0"/>
      <w:marTop w:val="0"/>
      <w:marBottom w:val="0"/>
      <w:divBdr>
        <w:top w:val="none" w:sz="0" w:space="0" w:color="auto"/>
        <w:left w:val="none" w:sz="0" w:space="0" w:color="auto"/>
        <w:bottom w:val="none" w:sz="0" w:space="0" w:color="auto"/>
        <w:right w:val="none" w:sz="0" w:space="0" w:color="auto"/>
      </w:divBdr>
    </w:div>
    <w:div w:id="1391537783">
      <w:bodyDiv w:val="1"/>
      <w:marLeft w:val="0"/>
      <w:marRight w:val="0"/>
      <w:marTop w:val="0"/>
      <w:marBottom w:val="0"/>
      <w:divBdr>
        <w:top w:val="none" w:sz="0" w:space="0" w:color="auto"/>
        <w:left w:val="none" w:sz="0" w:space="0" w:color="auto"/>
        <w:bottom w:val="none" w:sz="0" w:space="0" w:color="auto"/>
        <w:right w:val="none" w:sz="0" w:space="0" w:color="auto"/>
      </w:divBdr>
    </w:div>
    <w:div w:id="1408461232">
      <w:bodyDiv w:val="1"/>
      <w:marLeft w:val="0"/>
      <w:marRight w:val="0"/>
      <w:marTop w:val="0"/>
      <w:marBottom w:val="0"/>
      <w:divBdr>
        <w:top w:val="none" w:sz="0" w:space="0" w:color="auto"/>
        <w:left w:val="none" w:sz="0" w:space="0" w:color="auto"/>
        <w:bottom w:val="none" w:sz="0" w:space="0" w:color="auto"/>
        <w:right w:val="none" w:sz="0" w:space="0" w:color="auto"/>
      </w:divBdr>
    </w:div>
    <w:div w:id="1414159629">
      <w:bodyDiv w:val="1"/>
      <w:marLeft w:val="0"/>
      <w:marRight w:val="0"/>
      <w:marTop w:val="0"/>
      <w:marBottom w:val="0"/>
      <w:divBdr>
        <w:top w:val="none" w:sz="0" w:space="0" w:color="auto"/>
        <w:left w:val="none" w:sz="0" w:space="0" w:color="auto"/>
        <w:bottom w:val="none" w:sz="0" w:space="0" w:color="auto"/>
        <w:right w:val="none" w:sz="0" w:space="0" w:color="auto"/>
      </w:divBdr>
    </w:div>
    <w:div w:id="1432122651">
      <w:bodyDiv w:val="1"/>
      <w:marLeft w:val="0"/>
      <w:marRight w:val="0"/>
      <w:marTop w:val="0"/>
      <w:marBottom w:val="0"/>
      <w:divBdr>
        <w:top w:val="none" w:sz="0" w:space="0" w:color="auto"/>
        <w:left w:val="none" w:sz="0" w:space="0" w:color="auto"/>
        <w:bottom w:val="none" w:sz="0" w:space="0" w:color="auto"/>
        <w:right w:val="none" w:sz="0" w:space="0" w:color="auto"/>
      </w:divBdr>
    </w:div>
    <w:div w:id="1436753101">
      <w:bodyDiv w:val="1"/>
      <w:marLeft w:val="0"/>
      <w:marRight w:val="0"/>
      <w:marTop w:val="0"/>
      <w:marBottom w:val="0"/>
      <w:divBdr>
        <w:top w:val="none" w:sz="0" w:space="0" w:color="auto"/>
        <w:left w:val="none" w:sz="0" w:space="0" w:color="auto"/>
        <w:bottom w:val="none" w:sz="0" w:space="0" w:color="auto"/>
        <w:right w:val="none" w:sz="0" w:space="0" w:color="auto"/>
      </w:divBdr>
    </w:div>
    <w:div w:id="1454132849">
      <w:bodyDiv w:val="1"/>
      <w:marLeft w:val="0"/>
      <w:marRight w:val="0"/>
      <w:marTop w:val="0"/>
      <w:marBottom w:val="0"/>
      <w:divBdr>
        <w:top w:val="none" w:sz="0" w:space="0" w:color="auto"/>
        <w:left w:val="none" w:sz="0" w:space="0" w:color="auto"/>
        <w:bottom w:val="none" w:sz="0" w:space="0" w:color="auto"/>
        <w:right w:val="none" w:sz="0" w:space="0" w:color="auto"/>
      </w:divBdr>
    </w:div>
    <w:div w:id="1472093834">
      <w:bodyDiv w:val="1"/>
      <w:marLeft w:val="0"/>
      <w:marRight w:val="0"/>
      <w:marTop w:val="0"/>
      <w:marBottom w:val="0"/>
      <w:divBdr>
        <w:top w:val="none" w:sz="0" w:space="0" w:color="auto"/>
        <w:left w:val="none" w:sz="0" w:space="0" w:color="auto"/>
        <w:bottom w:val="none" w:sz="0" w:space="0" w:color="auto"/>
        <w:right w:val="none" w:sz="0" w:space="0" w:color="auto"/>
      </w:divBdr>
    </w:div>
    <w:div w:id="1492332872">
      <w:bodyDiv w:val="1"/>
      <w:marLeft w:val="0"/>
      <w:marRight w:val="0"/>
      <w:marTop w:val="0"/>
      <w:marBottom w:val="0"/>
      <w:divBdr>
        <w:top w:val="none" w:sz="0" w:space="0" w:color="auto"/>
        <w:left w:val="none" w:sz="0" w:space="0" w:color="auto"/>
        <w:bottom w:val="none" w:sz="0" w:space="0" w:color="auto"/>
        <w:right w:val="none" w:sz="0" w:space="0" w:color="auto"/>
      </w:divBdr>
    </w:div>
    <w:div w:id="1497109804">
      <w:bodyDiv w:val="1"/>
      <w:marLeft w:val="0"/>
      <w:marRight w:val="0"/>
      <w:marTop w:val="0"/>
      <w:marBottom w:val="0"/>
      <w:divBdr>
        <w:top w:val="none" w:sz="0" w:space="0" w:color="auto"/>
        <w:left w:val="none" w:sz="0" w:space="0" w:color="auto"/>
        <w:bottom w:val="none" w:sz="0" w:space="0" w:color="auto"/>
        <w:right w:val="none" w:sz="0" w:space="0" w:color="auto"/>
      </w:divBdr>
    </w:div>
    <w:div w:id="1504201775">
      <w:bodyDiv w:val="1"/>
      <w:marLeft w:val="0"/>
      <w:marRight w:val="0"/>
      <w:marTop w:val="0"/>
      <w:marBottom w:val="0"/>
      <w:divBdr>
        <w:top w:val="none" w:sz="0" w:space="0" w:color="auto"/>
        <w:left w:val="none" w:sz="0" w:space="0" w:color="auto"/>
        <w:bottom w:val="none" w:sz="0" w:space="0" w:color="auto"/>
        <w:right w:val="none" w:sz="0" w:space="0" w:color="auto"/>
      </w:divBdr>
    </w:div>
    <w:div w:id="1513060663">
      <w:bodyDiv w:val="1"/>
      <w:marLeft w:val="0"/>
      <w:marRight w:val="0"/>
      <w:marTop w:val="0"/>
      <w:marBottom w:val="0"/>
      <w:divBdr>
        <w:top w:val="none" w:sz="0" w:space="0" w:color="auto"/>
        <w:left w:val="none" w:sz="0" w:space="0" w:color="auto"/>
        <w:bottom w:val="none" w:sz="0" w:space="0" w:color="auto"/>
        <w:right w:val="none" w:sz="0" w:space="0" w:color="auto"/>
      </w:divBdr>
    </w:div>
    <w:div w:id="1530991270">
      <w:bodyDiv w:val="1"/>
      <w:marLeft w:val="0"/>
      <w:marRight w:val="0"/>
      <w:marTop w:val="0"/>
      <w:marBottom w:val="0"/>
      <w:divBdr>
        <w:top w:val="none" w:sz="0" w:space="0" w:color="auto"/>
        <w:left w:val="none" w:sz="0" w:space="0" w:color="auto"/>
        <w:bottom w:val="none" w:sz="0" w:space="0" w:color="auto"/>
        <w:right w:val="none" w:sz="0" w:space="0" w:color="auto"/>
      </w:divBdr>
    </w:div>
    <w:div w:id="1535655627">
      <w:bodyDiv w:val="1"/>
      <w:marLeft w:val="0"/>
      <w:marRight w:val="0"/>
      <w:marTop w:val="0"/>
      <w:marBottom w:val="0"/>
      <w:divBdr>
        <w:top w:val="none" w:sz="0" w:space="0" w:color="auto"/>
        <w:left w:val="none" w:sz="0" w:space="0" w:color="auto"/>
        <w:bottom w:val="none" w:sz="0" w:space="0" w:color="auto"/>
        <w:right w:val="none" w:sz="0" w:space="0" w:color="auto"/>
      </w:divBdr>
    </w:div>
    <w:div w:id="1537616631">
      <w:bodyDiv w:val="1"/>
      <w:marLeft w:val="0"/>
      <w:marRight w:val="0"/>
      <w:marTop w:val="0"/>
      <w:marBottom w:val="0"/>
      <w:divBdr>
        <w:top w:val="none" w:sz="0" w:space="0" w:color="auto"/>
        <w:left w:val="none" w:sz="0" w:space="0" w:color="auto"/>
        <w:bottom w:val="none" w:sz="0" w:space="0" w:color="auto"/>
        <w:right w:val="none" w:sz="0" w:space="0" w:color="auto"/>
      </w:divBdr>
    </w:div>
    <w:div w:id="1548495965">
      <w:bodyDiv w:val="1"/>
      <w:marLeft w:val="0"/>
      <w:marRight w:val="0"/>
      <w:marTop w:val="0"/>
      <w:marBottom w:val="0"/>
      <w:divBdr>
        <w:top w:val="none" w:sz="0" w:space="0" w:color="auto"/>
        <w:left w:val="none" w:sz="0" w:space="0" w:color="auto"/>
        <w:bottom w:val="none" w:sz="0" w:space="0" w:color="auto"/>
        <w:right w:val="none" w:sz="0" w:space="0" w:color="auto"/>
      </w:divBdr>
    </w:div>
    <w:div w:id="1569921032">
      <w:bodyDiv w:val="1"/>
      <w:marLeft w:val="0"/>
      <w:marRight w:val="0"/>
      <w:marTop w:val="0"/>
      <w:marBottom w:val="0"/>
      <w:divBdr>
        <w:top w:val="none" w:sz="0" w:space="0" w:color="auto"/>
        <w:left w:val="none" w:sz="0" w:space="0" w:color="auto"/>
        <w:bottom w:val="none" w:sz="0" w:space="0" w:color="auto"/>
        <w:right w:val="none" w:sz="0" w:space="0" w:color="auto"/>
      </w:divBdr>
    </w:div>
    <w:div w:id="1572883525">
      <w:bodyDiv w:val="1"/>
      <w:marLeft w:val="0"/>
      <w:marRight w:val="0"/>
      <w:marTop w:val="0"/>
      <w:marBottom w:val="0"/>
      <w:divBdr>
        <w:top w:val="none" w:sz="0" w:space="0" w:color="auto"/>
        <w:left w:val="none" w:sz="0" w:space="0" w:color="auto"/>
        <w:bottom w:val="none" w:sz="0" w:space="0" w:color="auto"/>
        <w:right w:val="none" w:sz="0" w:space="0" w:color="auto"/>
      </w:divBdr>
    </w:div>
    <w:div w:id="1574703418">
      <w:bodyDiv w:val="1"/>
      <w:marLeft w:val="0"/>
      <w:marRight w:val="0"/>
      <w:marTop w:val="0"/>
      <w:marBottom w:val="0"/>
      <w:divBdr>
        <w:top w:val="none" w:sz="0" w:space="0" w:color="auto"/>
        <w:left w:val="none" w:sz="0" w:space="0" w:color="auto"/>
        <w:bottom w:val="none" w:sz="0" w:space="0" w:color="auto"/>
        <w:right w:val="none" w:sz="0" w:space="0" w:color="auto"/>
      </w:divBdr>
    </w:div>
    <w:div w:id="1577398223">
      <w:bodyDiv w:val="1"/>
      <w:marLeft w:val="0"/>
      <w:marRight w:val="0"/>
      <w:marTop w:val="0"/>
      <w:marBottom w:val="0"/>
      <w:divBdr>
        <w:top w:val="none" w:sz="0" w:space="0" w:color="auto"/>
        <w:left w:val="none" w:sz="0" w:space="0" w:color="auto"/>
        <w:bottom w:val="none" w:sz="0" w:space="0" w:color="auto"/>
        <w:right w:val="none" w:sz="0" w:space="0" w:color="auto"/>
      </w:divBdr>
    </w:div>
    <w:div w:id="1586262966">
      <w:bodyDiv w:val="1"/>
      <w:marLeft w:val="0"/>
      <w:marRight w:val="0"/>
      <w:marTop w:val="0"/>
      <w:marBottom w:val="0"/>
      <w:divBdr>
        <w:top w:val="none" w:sz="0" w:space="0" w:color="auto"/>
        <w:left w:val="none" w:sz="0" w:space="0" w:color="auto"/>
        <w:bottom w:val="none" w:sz="0" w:space="0" w:color="auto"/>
        <w:right w:val="none" w:sz="0" w:space="0" w:color="auto"/>
      </w:divBdr>
    </w:div>
    <w:div w:id="1618296627">
      <w:bodyDiv w:val="1"/>
      <w:marLeft w:val="0"/>
      <w:marRight w:val="0"/>
      <w:marTop w:val="0"/>
      <w:marBottom w:val="0"/>
      <w:divBdr>
        <w:top w:val="none" w:sz="0" w:space="0" w:color="auto"/>
        <w:left w:val="none" w:sz="0" w:space="0" w:color="auto"/>
        <w:bottom w:val="none" w:sz="0" w:space="0" w:color="auto"/>
        <w:right w:val="none" w:sz="0" w:space="0" w:color="auto"/>
      </w:divBdr>
    </w:div>
    <w:div w:id="1665469855">
      <w:bodyDiv w:val="1"/>
      <w:marLeft w:val="0"/>
      <w:marRight w:val="0"/>
      <w:marTop w:val="0"/>
      <w:marBottom w:val="0"/>
      <w:divBdr>
        <w:top w:val="none" w:sz="0" w:space="0" w:color="auto"/>
        <w:left w:val="none" w:sz="0" w:space="0" w:color="auto"/>
        <w:bottom w:val="none" w:sz="0" w:space="0" w:color="auto"/>
        <w:right w:val="none" w:sz="0" w:space="0" w:color="auto"/>
      </w:divBdr>
    </w:div>
    <w:div w:id="1717967592">
      <w:bodyDiv w:val="1"/>
      <w:marLeft w:val="0"/>
      <w:marRight w:val="0"/>
      <w:marTop w:val="0"/>
      <w:marBottom w:val="0"/>
      <w:divBdr>
        <w:top w:val="none" w:sz="0" w:space="0" w:color="auto"/>
        <w:left w:val="none" w:sz="0" w:space="0" w:color="auto"/>
        <w:bottom w:val="none" w:sz="0" w:space="0" w:color="auto"/>
        <w:right w:val="none" w:sz="0" w:space="0" w:color="auto"/>
      </w:divBdr>
    </w:div>
    <w:div w:id="1807428096">
      <w:bodyDiv w:val="1"/>
      <w:marLeft w:val="0"/>
      <w:marRight w:val="0"/>
      <w:marTop w:val="0"/>
      <w:marBottom w:val="0"/>
      <w:divBdr>
        <w:top w:val="none" w:sz="0" w:space="0" w:color="auto"/>
        <w:left w:val="none" w:sz="0" w:space="0" w:color="auto"/>
        <w:bottom w:val="none" w:sz="0" w:space="0" w:color="auto"/>
        <w:right w:val="none" w:sz="0" w:space="0" w:color="auto"/>
      </w:divBdr>
    </w:div>
    <w:div w:id="1817141480">
      <w:bodyDiv w:val="1"/>
      <w:marLeft w:val="0"/>
      <w:marRight w:val="0"/>
      <w:marTop w:val="0"/>
      <w:marBottom w:val="0"/>
      <w:divBdr>
        <w:top w:val="none" w:sz="0" w:space="0" w:color="auto"/>
        <w:left w:val="none" w:sz="0" w:space="0" w:color="auto"/>
        <w:bottom w:val="none" w:sz="0" w:space="0" w:color="auto"/>
        <w:right w:val="none" w:sz="0" w:space="0" w:color="auto"/>
      </w:divBdr>
    </w:div>
    <w:div w:id="1827549340">
      <w:bodyDiv w:val="1"/>
      <w:marLeft w:val="0"/>
      <w:marRight w:val="0"/>
      <w:marTop w:val="0"/>
      <w:marBottom w:val="0"/>
      <w:divBdr>
        <w:top w:val="none" w:sz="0" w:space="0" w:color="auto"/>
        <w:left w:val="none" w:sz="0" w:space="0" w:color="auto"/>
        <w:bottom w:val="none" w:sz="0" w:space="0" w:color="auto"/>
        <w:right w:val="none" w:sz="0" w:space="0" w:color="auto"/>
      </w:divBdr>
    </w:div>
    <w:div w:id="1837767908">
      <w:bodyDiv w:val="1"/>
      <w:marLeft w:val="0"/>
      <w:marRight w:val="0"/>
      <w:marTop w:val="0"/>
      <w:marBottom w:val="0"/>
      <w:divBdr>
        <w:top w:val="none" w:sz="0" w:space="0" w:color="auto"/>
        <w:left w:val="none" w:sz="0" w:space="0" w:color="auto"/>
        <w:bottom w:val="none" w:sz="0" w:space="0" w:color="auto"/>
        <w:right w:val="none" w:sz="0" w:space="0" w:color="auto"/>
      </w:divBdr>
    </w:div>
    <w:div w:id="1876650156">
      <w:bodyDiv w:val="1"/>
      <w:marLeft w:val="0"/>
      <w:marRight w:val="0"/>
      <w:marTop w:val="0"/>
      <w:marBottom w:val="0"/>
      <w:divBdr>
        <w:top w:val="none" w:sz="0" w:space="0" w:color="auto"/>
        <w:left w:val="none" w:sz="0" w:space="0" w:color="auto"/>
        <w:bottom w:val="none" w:sz="0" w:space="0" w:color="auto"/>
        <w:right w:val="none" w:sz="0" w:space="0" w:color="auto"/>
      </w:divBdr>
    </w:div>
    <w:div w:id="1921015345">
      <w:bodyDiv w:val="1"/>
      <w:marLeft w:val="0"/>
      <w:marRight w:val="0"/>
      <w:marTop w:val="0"/>
      <w:marBottom w:val="0"/>
      <w:divBdr>
        <w:top w:val="none" w:sz="0" w:space="0" w:color="auto"/>
        <w:left w:val="none" w:sz="0" w:space="0" w:color="auto"/>
        <w:bottom w:val="none" w:sz="0" w:space="0" w:color="auto"/>
        <w:right w:val="none" w:sz="0" w:space="0" w:color="auto"/>
      </w:divBdr>
    </w:div>
    <w:div w:id="1931624643">
      <w:bodyDiv w:val="1"/>
      <w:marLeft w:val="0"/>
      <w:marRight w:val="0"/>
      <w:marTop w:val="0"/>
      <w:marBottom w:val="0"/>
      <w:divBdr>
        <w:top w:val="none" w:sz="0" w:space="0" w:color="auto"/>
        <w:left w:val="none" w:sz="0" w:space="0" w:color="auto"/>
        <w:bottom w:val="none" w:sz="0" w:space="0" w:color="auto"/>
        <w:right w:val="none" w:sz="0" w:space="0" w:color="auto"/>
      </w:divBdr>
    </w:div>
    <w:div w:id="1976988335">
      <w:bodyDiv w:val="1"/>
      <w:marLeft w:val="0"/>
      <w:marRight w:val="0"/>
      <w:marTop w:val="0"/>
      <w:marBottom w:val="0"/>
      <w:divBdr>
        <w:top w:val="none" w:sz="0" w:space="0" w:color="auto"/>
        <w:left w:val="none" w:sz="0" w:space="0" w:color="auto"/>
        <w:bottom w:val="none" w:sz="0" w:space="0" w:color="auto"/>
        <w:right w:val="none" w:sz="0" w:space="0" w:color="auto"/>
      </w:divBdr>
    </w:div>
    <w:div w:id="2001543853">
      <w:bodyDiv w:val="1"/>
      <w:marLeft w:val="0"/>
      <w:marRight w:val="0"/>
      <w:marTop w:val="0"/>
      <w:marBottom w:val="0"/>
      <w:divBdr>
        <w:top w:val="none" w:sz="0" w:space="0" w:color="auto"/>
        <w:left w:val="none" w:sz="0" w:space="0" w:color="auto"/>
        <w:bottom w:val="none" w:sz="0" w:space="0" w:color="auto"/>
        <w:right w:val="none" w:sz="0" w:space="0" w:color="auto"/>
      </w:divBdr>
    </w:div>
    <w:div w:id="2004577856">
      <w:bodyDiv w:val="1"/>
      <w:marLeft w:val="0"/>
      <w:marRight w:val="0"/>
      <w:marTop w:val="0"/>
      <w:marBottom w:val="0"/>
      <w:divBdr>
        <w:top w:val="none" w:sz="0" w:space="0" w:color="auto"/>
        <w:left w:val="none" w:sz="0" w:space="0" w:color="auto"/>
        <w:bottom w:val="none" w:sz="0" w:space="0" w:color="auto"/>
        <w:right w:val="none" w:sz="0" w:space="0" w:color="auto"/>
      </w:divBdr>
    </w:div>
    <w:div w:id="2010596770">
      <w:bodyDiv w:val="1"/>
      <w:marLeft w:val="0"/>
      <w:marRight w:val="0"/>
      <w:marTop w:val="0"/>
      <w:marBottom w:val="0"/>
      <w:divBdr>
        <w:top w:val="none" w:sz="0" w:space="0" w:color="auto"/>
        <w:left w:val="none" w:sz="0" w:space="0" w:color="auto"/>
        <w:bottom w:val="none" w:sz="0" w:space="0" w:color="auto"/>
        <w:right w:val="none" w:sz="0" w:space="0" w:color="auto"/>
      </w:divBdr>
    </w:div>
    <w:div w:id="2011178318">
      <w:bodyDiv w:val="1"/>
      <w:marLeft w:val="0"/>
      <w:marRight w:val="0"/>
      <w:marTop w:val="0"/>
      <w:marBottom w:val="0"/>
      <w:divBdr>
        <w:top w:val="none" w:sz="0" w:space="0" w:color="auto"/>
        <w:left w:val="none" w:sz="0" w:space="0" w:color="auto"/>
        <w:bottom w:val="none" w:sz="0" w:space="0" w:color="auto"/>
        <w:right w:val="none" w:sz="0" w:space="0" w:color="auto"/>
      </w:divBdr>
    </w:div>
    <w:div w:id="2033801896">
      <w:bodyDiv w:val="1"/>
      <w:marLeft w:val="0"/>
      <w:marRight w:val="0"/>
      <w:marTop w:val="0"/>
      <w:marBottom w:val="0"/>
      <w:divBdr>
        <w:top w:val="none" w:sz="0" w:space="0" w:color="auto"/>
        <w:left w:val="none" w:sz="0" w:space="0" w:color="auto"/>
        <w:bottom w:val="none" w:sz="0" w:space="0" w:color="auto"/>
        <w:right w:val="none" w:sz="0" w:space="0" w:color="auto"/>
      </w:divBdr>
    </w:div>
    <w:div w:id="2045472879">
      <w:bodyDiv w:val="1"/>
      <w:marLeft w:val="0"/>
      <w:marRight w:val="0"/>
      <w:marTop w:val="0"/>
      <w:marBottom w:val="0"/>
      <w:divBdr>
        <w:top w:val="none" w:sz="0" w:space="0" w:color="auto"/>
        <w:left w:val="none" w:sz="0" w:space="0" w:color="auto"/>
        <w:bottom w:val="none" w:sz="0" w:space="0" w:color="auto"/>
        <w:right w:val="none" w:sz="0" w:space="0" w:color="auto"/>
      </w:divBdr>
    </w:div>
    <w:div w:id="2047484784">
      <w:bodyDiv w:val="1"/>
      <w:marLeft w:val="0"/>
      <w:marRight w:val="0"/>
      <w:marTop w:val="0"/>
      <w:marBottom w:val="0"/>
      <w:divBdr>
        <w:top w:val="none" w:sz="0" w:space="0" w:color="auto"/>
        <w:left w:val="none" w:sz="0" w:space="0" w:color="auto"/>
        <w:bottom w:val="none" w:sz="0" w:space="0" w:color="auto"/>
        <w:right w:val="none" w:sz="0" w:space="0" w:color="auto"/>
      </w:divBdr>
    </w:div>
    <w:div w:id="2075396456">
      <w:bodyDiv w:val="1"/>
      <w:marLeft w:val="0"/>
      <w:marRight w:val="0"/>
      <w:marTop w:val="0"/>
      <w:marBottom w:val="0"/>
      <w:divBdr>
        <w:top w:val="none" w:sz="0" w:space="0" w:color="auto"/>
        <w:left w:val="none" w:sz="0" w:space="0" w:color="auto"/>
        <w:bottom w:val="none" w:sz="0" w:space="0" w:color="auto"/>
        <w:right w:val="none" w:sz="0" w:space="0" w:color="auto"/>
      </w:divBdr>
    </w:div>
    <w:div w:id="2090467375">
      <w:bodyDiv w:val="1"/>
      <w:marLeft w:val="0"/>
      <w:marRight w:val="0"/>
      <w:marTop w:val="0"/>
      <w:marBottom w:val="0"/>
      <w:divBdr>
        <w:top w:val="none" w:sz="0" w:space="0" w:color="auto"/>
        <w:left w:val="none" w:sz="0" w:space="0" w:color="auto"/>
        <w:bottom w:val="none" w:sz="0" w:space="0" w:color="auto"/>
        <w:right w:val="none" w:sz="0" w:space="0" w:color="auto"/>
      </w:divBdr>
    </w:div>
    <w:div w:id="2099326732">
      <w:bodyDiv w:val="1"/>
      <w:marLeft w:val="0"/>
      <w:marRight w:val="0"/>
      <w:marTop w:val="0"/>
      <w:marBottom w:val="0"/>
      <w:divBdr>
        <w:top w:val="none" w:sz="0" w:space="0" w:color="auto"/>
        <w:left w:val="none" w:sz="0" w:space="0" w:color="auto"/>
        <w:bottom w:val="none" w:sz="0" w:space="0" w:color="auto"/>
        <w:right w:val="none" w:sz="0" w:space="0" w:color="auto"/>
      </w:divBdr>
    </w:div>
    <w:div w:id="2099476018">
      <w:bodyDiv w:val="1"/>
      <w:marLeft w:val="0"/>
      <w:marRight w:val="0"/>
      <w:marTop w:val="0"/>
      <w:marBottom w:val="0"/>
      <w:divBdr>
        <w:top w:val="none" w:sz="0" w:space="0" w:color="auto"/>
        <w:left w:val="none" w:sz="0" w:space="0" w:color="auto"/>
        <w:bottom w:val="none" w:sz="0" w:space="0" w:color="auto"/>
        <w:right w:val="none" w:sz="0" w:space="0" w:color="auto"/>
      </w:divBdr>
    </w:div>
    <w:div w:id="2114545099">
      <w:bodyDiv w:val="1"/>
      <w:marLeft w:val="0"/>
      <w:marRight w:val="0"/>
      <w:marTop w:val="0"/>
      <w:marBottom w:val="0"/>
      <w:divBdr>
        <w:top w:val="none" w:sz="0" w:space="0" w:color="auto"/>
        <w:left w:val="none" w:sz="0" w:space="0" w:color="auto"/>
        <w:bottom w:val="none" w:sz="0" w:space="0" w:color="auto"/>
        <w:right w:val="none" w:sz="0" w:space="0" w:color="auto"/>
      </w:divBdr>
    </w:div>
    <w:div w:id="2130279375">
      <w:bodyDiv w:val="1"/>
      <w:marLeft w:val="0"/>
      <w:marRight w:val="0"/>
      <w:marTop w:val="0"/>
      <w:marBottom w:val="0"/>
      <w:divBdr>
        <w:top w:val="none" w:sz="0" w:space="0" w:color="auto"/>
        <w:left w:val="none" w:sz="0" w:space="0" w:color="auto"/>
        <w:bottom w:val="none" w:sz="0" w:space="0" w:color="auto"/>
        <w:right w:val="none" w:sz="0" w:space="0" w:color="auto"/>
      </w:divBdr>
    </w:div>
    <w:div w:id="2139255492">
      <w:bodyDiv w:val="1"/>
      <w:marLeft w:val="0"/>
      <w:marRight w:val="0"/>
      <w:marTop w:val="0"/>
      <w:marBottom w:val="0"/>
      <w:divBdr>
        <w:top w:val="none" w:sz="0" w:space="0" w:color="auto"/>
        <w:left w:val="none" w:sz="0" w:space="0" w:color="auto"/>
        <w:bottom w:val="none" w:sz="0" w:space="0" w:color="auto"/>
        <w:right w:val="none" w:sz="0" w:space="0" w:color="auto"/>
      </w:divBdr>
    </w:div>
    <w:div w:id="2141418315">
      <w:bodyDiv w:val="1"/>
      <w:marLeft w:val="0"/>
      <w:marRight w:val="0"/>
      <w:marTop w:val="0"/>
      <w:marBottom w:val="0"/>
      <w:divBdr>
        <w:top w:val="none" w:sz="0" w:space="0" w:color="auto"/>
        <w:left w:val="none" w:sz="0" w:space="0" w:color="auto"/>
        <w:bottom w:val="none" w:sz="0" w:space="0" w:color="auto"/>
        <w:right w:val="none" w:sz="0" w:space="0" w:color="auto"/>
      </w:divBdr>
    </w:div>
    <w:div w:id="21439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hitehouse.gov/sites/default/files/omb/assets/inforeg/technical-update-social-cost-of-carbon-for-regulator-impact-analysis.pdf" TargetMode="External"/><Relationship Id="rId3" Type="http://schemas.openxmlformats.org/officeDocument/2006/relationships/hyperlink" Target="https://www.transportation.gov/sites/dot.gov/files/docs/BCA%20%20Resource%20Guide%202016.pdf" TargetMode="External"/><Relationship Id="rId7" Type="http://schemas.openxmlformats.org/officeDocument/2006/relationships/hyperlink" Target="http://www.nhtsa.gov/staticfiles/rulemaking%20/pdf/cafe/FRIA_2017-2025.pdf" TargetMode="External"/><Relationship Id="rId2" Type="http://schemas.openxmlformats.org/officeDocument/2006/relationships/hyperlink" Target="https://www.whitehouse.gov/omb/budget%20/Historicals" TargetMode="External"/><Relationship Id="rId1" Type="http://schemas.openxmlformats.org/officeDocument/2006/relationships/hyperlink" Target="https://www.whitehouse.gov/omb/circulars_a004_a-4/" TargetMode="External"/><Relationship Id="rId6" Type="http://schemas.openxmlformats.org/officeDocument/2006/relationships/hyperlink" Target="https://www3.epa.gov/otaq/consumer/420f08025.pdf" TargetMode="External"/><Relationship Id="rId5" Type="http://schemas.openxmlformats.org/officeDocument/2006/relationships/hyperlink" Target="https://www.fhwa.dot.gov/policy/2013cpr/chap4.cfm" TargetMode="External"/><Relationship Id="rId4" Type="http://schemas.openxmlformats.org/officeDocument/2006/relationships/hyperlink" Target="http://atri-online.org/wp-content/uploads/2015/09/ATRI-Operational-Costs-of-Trucking-2015-FINAL-09-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WP\TEMPLATE\2014%20TEMPLATES\URS%20STANDAR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5CAA-2915-4193-B61D-56622D73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 STANDARD REPORT TEMPLATE</Template>
  <TotalTime>147</TotalTime>
  <Pages>34</Pages>
  <Words>12419</Words>
  <Characters>70790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PROJECT TYPE (REPORT OR DRAFT)</vt:lpstr>
    </vt:vector>
  </TitlesOfParts>
  <Company>URS Corporation</Company>
  <LinksUpToDate>false</LinksUpToDate>
  <CharactersWithSpaces>83043</CharactersWithSpaces>
  <SharedDoc>false</SharedDoc>
  <HLinks>
    <vt:vector size="132" baseType="variant">
      <vt:variant>
        <vt:i4>1769522</vt:i4>
      </vt:variant>
      <vt:variant>
        <vt:i4>125</vt:i4>
      </vt:variant>
      <vt:variant>
        <vt:i4>0</vt:i4>
      </vt:variant>
      <vt:variant>
        <vt:i4>5</vt:i4>
      </vt:variant>
      <vt:variant>
        <vt:lpwstr/>
      </vt:variant>
      <vt:variant>
        <vt:lpwstr>_Toc311128248</vt:lpwstr>
      </vt:variant>
      <vt:variant>
        <vt:i4>1769522</vt:i4>
      </vt:variant>
      <vt:variant>
        <vt:i4>122</vt:i4>
      </vt:variant>
      <vt:variant>
        <vt:i4>0</vt:i4>
      </vt:variant>
      <vt:variant>
        <vt:i4>5</vt:i4>
      </vt:variant>
      <vt:variant>
        <vt:lpwstr/>
      </vt:variant>
      <vt:variant>
        <vt:lpwstr>_Toc311128247</vt:lpwstr>
      </vt:variant>
      <vt:variant>
        <vt:i4>2031664</vt:i4>
      </vt:variant>
      <vt:variant>
        <vt:i4>116</vt:i4>
      </vt:variant>
      <vt:variant>
        <vt:i4>0</vt:i4>
      </vt:variant>
      <vt:variant>
        <vt:i4>5</vt:i4>
      </vt:variant>
      <vt:variant>
        <vt:lpwstr/>
      </vt:variant>
      <vt:variant>
        <vt:lpwstr>_Toc311128005</vt:lpwstr>
      </vt:variant>
      <vt:variant>
        <vt:i4>2031664</vt:i4>
      </vt:variant>
      <vt:variant>
        <vt:i4>113</vt:i4>
      </vt:variant>
      <vt:variant>
        <vt:i4>0</vt:i4>
      </vt:variant>
      <vt:variant>
        <vt:i4>5</vt:i4>
      </vt:variant>
      <vt:variant>
        <vt:lpwstr/>
      </vt:variant>
      <vt:variant>
        <vt:lpwstr>_Toc311128004</vt:lpwstr>
      </vt:variant>
      <vt:variant>
        <vt:i4>1703986</vt:i4>
      </vt:variant>
      <vt:variant>
        <vt:i4>107</vt:i4>
      </vt:variant>
      <vt:variant>
        <vt:i4>0</vt:i4>
      </vt:variant>
      <vt:variant>
        <vt:i4>5</vt:i4>
      </vt:variant>
      <vt:variant>
        <vt:lpwstr/>
      </vt:variant>
      <vt:variant>
        <vt:lpwstr>_Toc311128252</vt:lpwstr>
      </vt:variant>
      <vt:variant>
        <vt:i4>1114166</vt:i4>
      </vt:variant>
      <vt:variant>
        <vt:i4>101</vt:i4>
      </vt:variant>
      <vt:variant>
        <vt:i4>0</vt:i4>
      </vt:variant>
      <vt:variant>
        <vt:i4>5</vt:i4>
      </vt:variant>
      <vt:variant>
        <vt:lpwstr/>
      </vt:variant>
      <vt:variant>
        <vt:lpwstr>_Toc311127618</vt:lpwstr>
      </vt:variant>
      <vt:variant>
        <vt:i4>1179700</vt:i4>
      </vt:variant>
      <vt:variant>
        <vt:i4>92</vt:i4>
      </vt:variant>
      <vt:variant>
        <vt:i4>0</vt:i4>
      </vt:variant>
      <vt:variant>
        <vt:i4>5</vt:i4>
      </vt:variant>
      <vt:variant>
        <vt:lpwstr/>
      </vt:variant>
      <vt:variant>
        <vt:lpwstr>_Toc305657745</vt:lpwstr>
      </vt:variant>
      <vt:variant>
        <vt:i4>1179700</vt:i4>
      </vt:variant>
      <vt:variant>
        <vt:i4>86</vt:i4>
      </vt:variant>
      <vt:variant>
        <vt:i4>0</vt:i4>
      </vt:variant>
      <vt:variant>
        <vt:i4>5</vt:i4>
      </vt:variant>
      <vt:variant>
        <vt:lpwstr/>
      </vt:variant>
      <vt:variant>
        <vt:lpwstr>_Toc305657744</vt:lpwstr>
      </vt:variant>
      <vt:variant>
        <vt:i4>1179700</vt:i4>
      </vt:variant>
      <vt:variant>
        <vt:i4>80</vt:i4>
      </vt:variant>
      <vt:variant>
        <vt:i4>0</vt:i4>
      </vt:variant>
      <vt:variant>
        <vt:i4>5</vt:i4>
      </vt:variant>
      <vt:variant>
        <vt:lpwstr/>
      </vt:variant>
      <vt:variant>
        <vt:lpwstr>_Toc305657743</vt:lpwstr>
      </vt:variant>
      <vt:variant>
        <vt:i4>1179700</vt:i4>
      </vt:variant>
      <vt:variant>
        <vt:i4>74</vt:i4>
      </vt:variant>
      <vt:variant>
        <vt:i4>0</vt:i4>
      </vt:variant>
      <vt:variant>
        <vt:i4>5</vt:i4>
      </vt:variant>
      <vt:variant>
        <vt:lpwstr/>
      </vt:variant>
      <vt:variant>
        <vt:lpwstr>_Toc305657742</vt:lpwstr>
      </vt:variant>
      <vt:variant>
        <vt:i4>1179700</vt:i4>
      </vt:variant>
      <vt:variant>
        <vt:i4>68</vt:i4>
      </vt:variant>
      <vt:variant>
        <vt:i4>0</vt:i4>
      </vt:variant>
      <vt:variant>
        <vt:i4>5</vt:i4>
      </vt:variant>
      <vt:variant>
        <vt:lpwstr/>
      </vt:variant>
      <vt:variant>
        <vt:lpwstr>_Toc305657741</vt:lpwstr>
      </vt:variant>
      <vt:variant>
        <vt:i4>1179700</vt:i4>
      </vt:variant>
      <vt:variant>
        <vt:i4>62</vt:i4>
      </vt:variant>
      <vt:variant>
        <vt:i4>0</vt:i4>
      </vt:variant>
      <vt:variant>
        <vt:i4>5</vt:i4>
      </vt:variant>
      <vt:variant>
        <vt:lpwstr/>
      </vt:variant>
      <vt:variant>
        <vt:lpwstr>_Toc305657740</vt:lpwstr>
      </vt:variant>
      <vt:variant>
        <vt:i4>1376308</vt:i4>
      </vt:variant>
      <vt:variant>
        <vt:i4>56</vt:i4>
      </vt:variant>
      <vt:variant>
        <vt:i4>0</vt:i4>
      </vt:variant>
      <vt:variant>
        <vt:i4>5</vt:i4>
      </vt:variant>
      <vt:variant>
        <vt:lpwstr/>
      </vt:variant>
      <vt:variant>
        <vt:lpwstr>_Toc305657739</vt:lpwstr>
      </vt:variant>
      <vt:variant>
        <vt:i4>1376308</vt:i4>
      </vt:variant>
      <vt:variant>
        <vt:i4>50</vt:i4>
      </vt:variant>
      <vt:variant>
        <vt:i4>0</vt:i4>
      </vt:variant>
      <vt:variant>
        <vt:i4>5</vt:i4>
      </vt:variant>
      <vt:variant>
        <vt:lpwstr/>
      </vt:variant>
      <vt:variant>
        <vt:lpwstr>_Toc305657738</vt:lpwstr>
      </vt:variant>
      <vt:variant>
        <vt:i4>1376308</vt:i4>
      </vt:variant>
      <vt:variant>
        <vt:i4>44</vt:i4>
      </vt:variant>
      <vt:variant>
        <vt:i4>0</vt:i4>
      </vt:variant>
      <vt:variant>
        <vt:i4>5</vt:i4>
      </vt:variant>
      <vt:variant>
        <vt:lpwstr/>
      </vt:variant>
      <vt:variant>
        <vt:lpwstr>_Toc305657737</vt:lpwstr>
      </vt:variant>
      <vt:variant>
        <vt:i4>1376308</vt:i4>
      </vt:variant>
      <vt:variant>
        <vt:i4>38</vt:i4>
      </vt:variant>
      <vt:variant>
        <vt:i4>0</vt:i4>
      </vt:variant>
      <vt:variant>
        <vt:i4>5</vt:i4>
      </vt:variant>
      <vt:variant>
        <vt:lpwstr/>
      </vt:variant>
      <vt:variant>
        <vt:lpwstr>_Toc305657736</vt:lpwstr>
      </vt:variant>
      <vt:variant>
        <vt:i4>1376308</vt:i4>
      </vt:variant>
      <vt:variant>
        <vt:i4>32</vt:i4>
      </vt:variant>
      <vt:variant>
        <vt:i4>0</vt:i4>
      </vt:variant>
      <vt:variant>
        <vt:i4>5</vt:i4>
      </vt:variant>
      <vt:variant>
        <vt:lpwstr/>
      </vt:variant>
      <vt:variant>
        <vt:lpwstr>_Toc305657735</vt:lpwstr>
      </vt:variant>
      <vt:variant>
        <vt:i4>1376308</vt:i4>
      </vt:variant>
      <vt:variant>
        <vt:i4>26</vt:i4>
      </vt:variant>
      <vt:variant>
        <vt:i4>0</vt:i4>
      </vt:variant>
      <vt:variant>
        <vt:i4>5</vt:i4>
      </vt:variant>
      <vt:variant>
        <vt:lpwstr/>
      </vt:variant>
      <vt:variant>
        <vt:lpwstr>_Toc305657734</vt:lpwstr>
      </vt:variant>
      <vt:variant>
        <vt:i4>1376308</vt:i4>
      </vt:variant>
      <vt:variant>
        <vt:i4>20</vt:i4>
      </vt:variant>
      <vt:variant>
        <vt:i4>0</vt:i4>
      </vt:variant>
      <vt:variant>
        <vt:i4>5</vt:i4>
      </vt:variant>
      <vt:variant>
        <vt:lpwstr/>
      </vt:variant>
      <vt:variant>
        <vt:lpwstr>_Toc305657733</vt:lpwstr>
      </vt:variant>
      <vt:variant>
        <vt:i4>1376308</vt:i4>
      </vt:variant>
      <vt:variant>
        <vt:i4>14</vt:i4>
      </vt:variant>
      <vt:variant>
        <vt:i4>0</vt:i4>
      </vt:variant>
      <vt:variant>
        <vt:i4>5</vt:i4>
      </vt:variant>
      <vt:variant>
        <vt:lpwstr/>
      </vt:variant>
      <vt:variant>
        <vt:lpwstr>_Toc305657732</vt:lpwstr>
      </vt:variant>
      <vt:variant>
        <vt:i4>1376308</vt:i4>
      </vt:variant>
      <vt:variant>
        <vt:i4>8</vt:i4>
      </vt:variant>
      <vt:variant>
        <vt:i4>0</vt:i4>
      </vt:variant>
      <vt:variant>
        <vt:i4>5</vt:i4>
      </vt:variant>
      <vt:variant>
        <vt:lpwstr/>
      </vt:variant>
      <vt:variant>
        <vt:lpwstr>_Toc305657731</vt:lpwstr>
      </vt:variant>
      <vt:variant>
        <vt:i4>1376308</vt:i4>
      </vt:variant>
      <vt:variant>
        <vt:i4>2</vt:i4>
      </vt:variant>
      <vt:variant>
        <vt:i4>0</vt:i4>
      </vt:variant>
      <vt:variant>
        <vt:i4>5</vt:i4>
      </vt:variant>
      <vt:variant>
        <vt:lpwstr/>
      </vt:variant>
      <vt:variant>
        <vt:lpwstr>_Toc305657730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TYPE (REPORT OR DRAFT)</dc:title>
  <dc:creator>Lewis, Kimberly</dc:creator>
  <cp:lastModifiedBy>James, Lincoln</cp:lastModifiedBy>
  <cp:revision>6</cp:revision>
  <cp:lastPrinted>2016-04-19T02:12:00Z</cp:lastPrinted>
  <dcterms:created xsi:type="dcterms:W3CDTF">2016-04-19T01:03:00Z</dcterms:created>
  <dcterms:modified xsi:type="dcterms:W3CDTF">2016-04-19T05:05:00Z</dcterms:modified>
</cp:coreProperties>
</file>